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auto"/>
        <w:ind w:firstLine="420"/>
        <w:rPr>
          <w:rFonts w:hint="eastAsia" w:ascii="inherit" w:hAnsi="inherit"/>
          <w:color w:val="333333"/>
          <w:szCs w:val="21"/>
        </w:rPr>
      </w:pPr>
      <w:bookmarkStart w:id="0" w:name="_GoBack"/>
      <w:bookmarkEnd w:id="0"/>
    </w:p>
    <w:p>
      <w:pPr>
        <w:shd w:val="clear" w:color="auto" w:fill="FFFFFF"/>
        <w:spacing w:line="480" w:lineRule="auto"/>
        <w:jc w:val="center"/>
        <w:rPr>
          <w:rFonts w:ascii="微软雅黑" w:hAnsi="微软雅黑" w:eastAsia="微软雅黑"/>
          <w:b/>
          <w:bCs/>
          <w:color w:val="0C0C0C" w:themeColor="text1" w:themeTint="F2"/>
          <w:sz w:val="30"/>
          <w:szCs w:val="30"/>
        </w:rPr>
      </w:pPr>
      <w:r>
        <w:rPr>
          <w:rFonts w:ascii="微软雅黑" w:hAnsi="微软雅黑" w:eastAsia="微软雅黑"/>
          <w:b/>
          <w:bCs/>
          <w:color w:val="0C0C0C" w:themeColor="text1" w:themeTint="F2"/>
          <w:sz w:val="30"/>
          <w:szCs w:val="30"/>
        </w:rPr>
        <w:t>非法证券活动</w:t>
      </w:r>
      <w:r>
        <w:rPr>
          <w:rFonts w:hint="eastAsia" w:ascii="微软雅黑" w:hAnsi="微软雅黑" w:eastAsia="微软雅黑"/>
          <w:b/>
          <w:bCs/>
          <w:color w:val="0C0C0C" w:themeColor="text1" w:themeTint="F2"/>
          <w:sz w:val="30"/>
          <w:szCs w:val="30"/>
        </w:rPr>
        <w:t>定义及表现形式</w:t>
      </w:r>
    </w:p>
    <w:p>
      <w:pPr>
        <w:snapToGrid w:val="0"/>
        <w:ind w:left="-357"/>
        <w:jc w:val="center"/>
        <w:rPr>
          <w:rFonts w:ascii="仿宋_GB2312" w:eastAsia="仿宋_GB2312"/>
          <w:b/>
          <w:sz w:val="32"/>
        </w:rPr>
      </w:pPr>
    </w:p>
    <w:p>
      <w:pPr>
        <w:snapToGrid w:val="0"/>
        <w:ind w:left="-357"/>
        <w:jc w:val="center"/>
        <w:rPr>
          <w:rFonts w:ascii="仿宋_GB2312" w:eastAsia="仿宋_GB2312"/>
          <w:b/>
          <w:sz w:val="32"/>
        </w:rPr>
      </w:pPr>
    </w:p>
    <w:p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>
        <w:rPr>
          <w:rFonts w:hint="eastAsia" w:ascii="inherit" w:hAnsi="inherit"/>
          <w:color w:val="333333"/>
          <w:sz w:val="21"/>
          <w:szCs w:val="21"/>
        </w:rPr>
        <w:t xml:space="preserve">    </w:t>
      </w:r>
      <w:r>
        <w:rPr>
          <w:rFonts w:hint="eastAsia"/>
          <w:color w:val="333333"/>
          <w:sz w:val="21"/>
          <w:szCs w:val="21"/>
        </w:rPr>
        <w:t>非法证券活动是一种典型的涉众型的违法犯罪活动，严重干扰正常的经济金融秩序，破坏社会和谐与稳定。</w:t>
      </w:r>
      <w:r>
        <w:rPr>
          <w:rFonts w:ascii="inherit" w:hAnsi="inherit"/>
          <w:color w:val="333333"/>
          <w:sz w:val="21"/>
          <w:szCs w:val="21"/>
        </w:rPr>
        <w:t>根据</w:t>
      </w:r>
      <w:r>
        <w:rPr>
          <w:rFonts w:hint="eastAsia" w:ascii="inherit" w:hAnsi="inherit"/>
          <w:color w:val="333333"/>
          <w:sz w:val="21"/>
          <w:szCs w:val="21"/>
        </w:rPr>
        <w:t>《</w:t>
      </w:r>
      <w:r>
        <w:rPr>
          <w:rFonts w:hint="eastAsia"/>
          <w:color w:val="333333"/>
          <w:sz w:val="21"/>
          <w:szCs w:val="21"/>
        </w:rPr>
        <w:t>证券经营机构参与打击非法证券活动工作指引</w:t>
      </w:r>
      <w:r>
        <w:rPr>
          <w:rFonts w:hint="eastAsia" w:ascii="inherit" w:hAnsi="inherit"/>
          <w:color w:val="333333"/>
          <w:sz w:val="21"/>
          <w:szCs w:val="21"/>
        </w:rPr>
        <w:t>》</w:t>
      </w:r>
      <w:r>
        <w:rPr>
          <w:rFonts w:hint="eastAsia"/>
          <w:color w:val="333333"/>
          <w:sz w:val="21"/>
          <w:szCs w:val="21"/>
        </w:rPr>
        <w:t>第二条规定，非法证券活动是指违反《证券法》</w:t>
      </w:r>
      <w:r>
        <w:rPr>
          <w:color w:val="333333"/>
          <w:sz w:val="21"/>
          <w:szCs w:val="21"/>
        </w:rPr>
        <w:t>等法律行政法规</w:t>
      </w:r>
      <w:r>
        <w:rPr>
          <w:rFonts w:hint="eastAsia"/>
          <w:color w:val="333333"/>
          <w:sz w:val="21"/>
          <w:szCs w:val="21"/>
        </w:rPr>
        <w:t>的规定，未经有权机关批准，</w:t>
      </w:r>
      <w:r>
        <w:rPr>
          <w:color w:val="333333"/>
          <w:sz w:val="21"/>
          <w:szCs w:val="21"/>
        </w:rPr>
        <w:t>擅自公开发行证券</w:t>
      </w:r>
      <w:r>
        <w:rPr>
          <w:rFonts w:hint="eastAsia"/>
          <w:color w:val="333333"/>
          <w:sz w:val="21"/>
          <w:szCs w:val="21"/>
        </w:rPr>
        <w:t>，</w:t>
      </w:r>
      <w:r>
        <w:rPr>
          <w:color w:val="333333"/>
          <w:sz w:val="21"/>
          <w:szCs w:val="21"/>
        </w:rPr>
        <w:t>设</w:t>
      </w:r>
      <w:r>
        <w:rPr>
          <w:rFonts w:hint="eastAsia"/>
          <w:color w:val="333333"/>
          <w:sz w:val="21"/>
          <w:szCs w:val="21"/>
        </w:rPr>
        <w:t>立证券交易场所或者</w:t>
      </w:r>
      <w:r>
        <w:rPr>
          <w:color w:val="333333"/>
          <w:sz w:val="21"/>
          <w:szCs w:val="21"/>
        </w:rPr>
        <w:t>证券公司</w:t>
      </w:r>
      <w:r>
        <w:rPr>
          <w:rFonts w:hint="eastAsia"/>
          <w:color w:val="333333"/>
          <w:sz w:val="21"/>
          <w:szCs w:val="21"/>
        </w:rPr>
        <w:t>，</w:t>
      </w:r>
      <w:r>
        <w:rPr>
          <w:color w:val="333333"/>
          <w:sz w:val="21"/>
          <w:szCs w:val="21"/>
        </w:rPr>
        <w:t>或者</w:t>
      </w:r>
      <w:r>
        <w:rPr>
          <w:rFonts w:hint="eastAsia"/>
          <w:color w:val="333333"/>
          <w:sz w:val="21"/>
          <w:szCs w:val="21"/>
        </w:rPr>
        <w:t>从事</w:t>
      </w:r>
      <w:r>
        <w:rPr>
          <w:color w:val="333333"/>
          <w:sz w:val="21"/>
          <w:szCs w:val="21"/>
        </w:rPr>
        <w:t>证券经纪、</w:t>
      </w:r>
      <w:r>
        <w:rPr>
          <w:rFonts w:hint="eastAsia"/>
          <w:color w:val="333333"/>
          <w:sz w:val="21"/>
          <w:szCs w:val="21"/>
        </w:rPr>
        <w:t>证券承销、证券</w:t>
      </w:r>
      <w:r>
        <w:rPr>
          <w:color w:val="333333"/>
          <w:sz w:val="21"/>
          <w:szCs w:val="21"/>
        </w:rPr>
        <w:t>投资咨询等证券业务的</w:t>
      </w:r>
      <w:r>
        <w:rPr>
          <w:rFonts w:hint="eastAsia"/>
          <w:color w:val="333333"/>
          <w:sz w:val="21"/>
          <w:szCs w:val="21"/>
        </w:rPr>
        <w:t>行为。</w:t>
      </w:r>
    </w:p>
    <w:p>
      <w:pPr>
        <w:spacing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向不特定对象发行股票或向特定对象发行股票后股东累计超过200人的，为公开发行，应依法报经证监会核准。未经核准擅自发行的，属于非法发行股票。</w:t>
      </w:r>
    </w:p>
    <w:p>
      <w:pPr>
        <w:spacing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向特定对象发行股票后股东累计不超过200人的，为非公开发行。非公开发行股票及其股权转让，不得采用广告、公告、广播、电话、传真、信函、推介会、说明会、网络、短信、公开劝诱等公开方式或变相公开方式向社会公众发行。任何公司股东自行或委托他人以公开方式向社会公众转让股票，向特定对象转让股票，未依法报经证监会核准的，转让后，公司股东累计超过200人，属于变相公开发行股票。</w:t>
      </w:r>
    </w:p>
    <w:p>
      <w:pPr>
        <w:spacing w:line="480" w:lineRule="auto"/>
        <w:ind w:firstLine="420" w:firstLineChars="20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股票承销、经纪（代理买卖）、证券投资咨询等证券业务由证监会依法批准设立的证券机构经营。未经证监会批准，其他任何机构和个人经营证券业务属于非法经营证券业务。</w:t>
      </w:r>
    </w:p>
    <w:p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非法证券活动主要分为非法发行证券、非法设立证券交易场所或者证券公司和非法经营证券业务。</w:t>
      </w:r>
    </w:p>
    <w:p>
      <w:pPr>
        <w:pStyle w:val="15"/>
        <w:numPr>
          <w:ilvl w:val="0"/>
          <w:numId w:val="1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非法发行证券</w:t>
      </w:r>
    </w:p>
    <w:p>
      <w:pPr>
        <w:shd w:val="clear" w:color="auto" w:fill="FFFFFF"/>
        <w:spacing w:line="480" w:lineRule="auto"/>
        <w:ind w:firstLine="435" w:firstLineChars="207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非法发行证券的主要表现形式为：非法发行股票，不法分子打着即将“境内外上市旗号”，诱骗投资者购买、转让所谓“原始股”等。</w:t>
      </w:r>
    </w:p>
    <w:p>
      <w:pPr>
        <w:shd w:val="clear" w:color="auto" w:fill="FFFFFF"/>
        <w:spacing w:line="480" w:lineRule="auto"/>
        <w:ind w:left="435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欺诈行为手法主要有以下几点：</w:t>
      </w:r>
    </w:p>
    <w:p>
      <w:pPr>
        <w:pStyle w:val="15"/>
        <w:numPr>
          <w:ilvl w:val="0"/>
          <w:numId w:val="2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以到境内外上市、高额回报为诱饵</w:t>
      </w:r>
    </w:p>
    <w:p>
      <w:pPr>
        <w:pStyle w:val="15"/>
        <w:numPr>
          <w:ilvl w:val="0"/>
          <w:numId w:val="2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以社会大众，特别是中老年人为对象</w:t>
      </w:r>
    </w:p>
    <w:p>
      <w:pPr>
        <w:pStyle w:val="15"/>
        <w:numPr>
          <w:ilvl w:val="0"/>
          <w:numId w:val="2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以欺骗钱财为目的</w:t>
      </w:r>
    </w:p>
    <w:p>
      <w:pPr>
        <w:pStyle w:val="15"/>
        <w:numPr>
          <w:ilvl w:val="0"/>
          <w:numId w:val="1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非法设立证券交易场所或者证券公司</w:t>
      </w:r>
    </w:p>
    <w:p>
      <w:pPr>
        <w:pStyle w:val="15"/>
        <w:numPr>
          <w:ilvl w:val="0"/>
          <w:numId w:val="1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非法经营证券业务主要包括非法证券投资咨询、非法经纪业务</w:t>
      </w:r>
    </w:p>
    <w:p>
      <w:pPr>
        <w:shd w:val="clear" w:color="auto" w:fill="FFFFFF"/>
        <w:spacing w:line="480" w:lineRule="auto"/>
        <w:ind w:left="435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非法证券投资咨询的表现形式主要有：</w:t>
      </w:r>
    </w:p>
    <w:p>
      <w:pPr>
        <w:spacing w:line="360" w:lineRule="auto"/>
        <w:ind w:firstLine="424" w:firstLineChars="202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1、设立网站或利用网络聊天工具以招揽会员或客户为名，提供证券投资分析、预测或建议的方式,非法代理客户从事证券投资理财活动。</w:t>
      </w:r>
    </w:p>
    <w:p>
      <w:pPr>
        <w:spacing w:line="360" w:lineRule="auto"/>
        <w:ind w:firstLine="424" w:firstLineChars="202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2、设立网站或利用网络聊天工具</w:t>
      </w:r>
      <w:r>
        <w:rPr>
          <w:color w:val="333333"/>
          <w:sz w:val="21"/>
          <w:szCs w:val="21"/>
        </w:rPr>
        <w:t>以</w:t>
      </w:r>
      <w:r>
        <w:rPr>
          <w:rFonts w:hint="eastAsia"/>
          <w:color w:val="333333"/>
          <w:sz w:val="21"/>
          <w:szCs w:val="21"/>
        </w:rPr>
        <w:t>保证收益、</w:t>
      </w:r>
      <w:r>
        <w:rPr>
          <w:color w:val="333333"/>
          <w:sz w:val="21"/>
          <w:szCs w:val="21"/>
        </w:rPr>
        <w:t>高额回报为诱饵，代客操盘，</w:t>
      </w:r>
      <w:r>
        <w:rPr>
          <w:rFonts w:hint="eastAsia"/>
          <w:color w:val="333333"/>
          <w:sz w:val="21"/>
          <w:szCs w:val="21"/>
        </w:rPr>
        <w:t>公开招揽客户，与投资者签订委托协议，从事非法证券活动。</w:t>
      </w:r>
    </w:p>
    <w:p>
      <w:pPr>
        <w:spacing w:line="360" w:lineRule="auto"/>
        <w:ind w:firstLine="424" w:firstLineChars="202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3、假冒合法证券经营机构网站或博客，发布非法证券活动信息，招揽会员或客户。</w:t>
      </w:r>
    </w:p>
    <w:p>
      <w:pPr>
        <w:spacing w:line="36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4、使用虚构的证券公司名称，利用门户网站的博客发布非法证券活动信息，招揽会员或客户，提供证券投资分析、预测或建议服务，变相从事非法证券投资咨询业务。</w:t>
      </w:r>
    </w:p>
    <w:p>
      <w:pPr>
        <w:shd w:val="clear" w:color="auto" w:fill="FFFFFF"/>
        <w:spacing w:line="480" w:lineRule="auto"/>
        <w:ind w:firstLine="424" w:firstLineChars="202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5、以门户网站、网站博客、QQ等为平台，散布非法证券活动信息，提供证券投资分析、预测或建议服务，收取咨询费、服务费。</w:t>
      </w:r>
    </w:p>
    <w:p>
      <w:pPr>
        <w:shd w:val="clear" w:color="auto" w:fill="FFFFFF"/>
        <w:spacing w:line="480" w:lineRule="auto"/>
        <w:ind w:firstLine="424" w:firstLineChars="202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6、以“荐股软件”形式，散布非法证券活动信息，提供证券投资分析、预测或建议服务，收取咨询费、服务费。</w:t>
      </w:r>
    </w:p>
    <w:p>
      <w:pPr>
        <w:pStyle w:val="15"/>
        <w:numPr>
          <w:ilvl w:val="0"/>
          <w:numId w:val="3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通过开办“股民学校”、举办投资报告会，从事非法证券投资咨询。</w:t>
      </w:r>
    </w:p>
    <w:p>
      <w:pPr>
        <w:shd w:val="clear" w:color="auto" w:fill="FFFFFF"/>
        <w:spacing w:line="480" w:lineRule="auto"/>
        <w:ind w:firstLine="405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非法经纪业务主要指无经纪业务资格的机构或者个人通过控制帐户、开设子帐户,接受交易指令,代理完成交易,开展非法证券活动。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DF7"/>
    <w:multiLevelType w:val="multilevel"/>
    <w:tmpl w:val="04247DF7"/>
    <w:lvl w:ilvl="0" w:tentative="0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52D3CC6"/>
    <w:multiLevelType w:val="multilevel"/>
    <w:tmpl w:val="352D3CC6"/>
    <w:lvl w:ilvl="0" w:tentative="0">
      <w:start w:val="7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4" w:hanging="420"/>
      </w:pPr>
    </w:lvl>
    <w:lvl w:ilvl="2" w:tentative="0">
      <w:start w:val="1"/>
      <w:numFmt w:val="lowerRoman"/>
      <w:lvlText w:val="%3."/>
      <w:lvlJc w:val="right"/>
      <w:pPr>
        <w:ind w:left="1684" w:hanging="420"/>
      </w:pPr>
    </w:lvl>
    <w:lvl w:ilvl="3" w:tentative="0">
      <w:start w:val="1"/>
      <w:numFmt w:val="decimal"/>
      <w:lvlText w:val="%4."/>
      <w:lvlJc w:val="left"/>
      <w:pPr>
        <w:ind w:left="2104" w:hanging="420"/>
      </w:pPr>
    </w:lvl>
    <w:lvl w:ilvl="4" w:tentative="0">
      <w:start w:val="1"/>
      <w:numFmt w:val="lowerLetter"/>
      <w:lvlText w:val="%5)"/>
      <w:lvlJc w:val="left"/>
      <w:pPr>
        <w:ind w:left="2524" w:hanging="420"/>
      </w:pPr>
    </w:lvl>
    <w:lvl w:ilvl="5" w:tentative="0">
      <w:start w:val="1"/>
      <w:numFmt w:val="lowerRoman"/>
      <w:lvlText w:val="%6."/>
      <w:lvlJc w:val="right"/>
      <w:pPr>
        <w:ind w:left="2944" w:hanging="420"/>
      </w:pPr>
    </w:lvl>
    <w:lvl w:ilvl="6" w:tentative="0">
      <w:start w:val="1"/>
      <w:numFmt w:val="decimal"/>
      <w:lvlText w:val="%7."/>
      <w:lvlJc w:val="left"/>
      <w:pPr>
        <w:ind w:left="3364" w:hanging="420"/>
      </w:pPr>
    </w:lvl>
    <w:lvl w:ilvl="7" w:tentative="0">
      <w:start w:val="1"/>
      <w:numFmt w:val="lowerLetter"/>
      <w:lvlText w:val="%8)"/>
      <w:lvlJc w:val="left"/>
      <w:pPr>
        <w:ind w:left="3784" w:hanging="420"/>
      </w:pPr>
    </w:lvl>
    <w:lvl w:ilvl="8" w:tentative="0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3C0B348F"/>
    <w:multiLevelType w:val="multilevel"/>
    <w:tmpl w:val="3C0B348F"/>
    <w:lvl w:ilvl="0" w:tentative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7E"/>
    <w:rsid w:val="0006286E"/>
    <w:rsid w:val="000A6950"/>
    <w:rsid w:val="000C6C93"/>
    <w:rsid w:val="0013332B"/>
    <w:rsid w:val="00243333"/>
    <w:rsid w:val="00262E5B"/>
    <w:rsid w:val="002A74FC"/>
    <w:rsid w:val="00372D7C"/>
    <w:rsid w:val="003845C4"/>
    <w:rsid w:val="003B267E"/>
    <w:rsid w:val="00536775"/>
    <w:rsid w:val="005453B8"/>
    <w:rsid w:val="005A4DCF"/>
    <w:rsid w:val="005F4322"/>
    <w:rsid w:val="00605C93"/>
    <w:rsid w:val="00651145"/>
    <w:rsid w:val="0066121A"/>
    <w:rsid w:val="006F0375"/>
    <w:rsid w:val="00752638"/>
    <w:rsid w:val="007704B7"/>
    <w:rsid w:val="00782906"/>
    <w:rsid w:val="00797DF8"/>
    <w:rsid w:val="007D42B8"/>
    <w:rsid w:val="0081487E"/>
    <w:rsid w:val="00836331"/>
    <w:rsid w:val="008977DF"/>
    <w:rsid w:val="00963C60"/>
    <w:rsid w:val="00A01648"/>
    <w:rsid w:val="00A250B3"/>
    <w:rsid w:val="00A80329"/>
    <w:rsid w:val="00AC2154"/>
    <w:rsid w:val="00AC4CCC"/>
    <w:rsid w:val="00AE41AB"/>
    <w:rsid w:val="00B1535B"/>
    <w:rsid w:val="00B25FEC"/>
    <w:rsid w:val="00B55FFC"/>
    <w:rsid w:val="00B56FD1"/>
    <w:rsid w:val="00C05953"/>
    <w:rsid w:val="00C33114"/>
    <w:rsid w:val="00C33B81"/>
    <w:rsid w:val="00C5235B"/>
    <w:rsid w:val="00CD1FC6"/>
    <w:rsid w:val="00DD44B2"/>
    <w:rsid w:val="00E57FBF"/>
    <w:rsid w:val="00E67E86"/>
    <w:rsid w:val="00EA22A8"/>
    <w:rsid w:val="00FD6975"/>
    <w:rsid w:val="0D7F15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uiPriority w:val="99"/>
    <w:rPr>
      <w:b/>
      <w:bCs/>
    </w:rPr>
  </w:style>
  <w:style w:type="paragraph" w:styleId="3">
    <w:name w:val="annotation text"/>
    <w:basedOn w:val="1"/>
    <w:link w:val="16"/>
    <w:unhideWhenUsed/>
    <w:uiPriority w:val="99"/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2">
    <w:name w:val="批注框文本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列出段落1"/>
    <w:basedOn w:val="1"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14">
    <w:name w:val="列出段落11"/>
    <w:basedOn w:val="1"/>
    <w:uiPriority w:val="0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Char"/>
    <w:basedOn w:val="7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主题 Char"/>
    <w:basedOn w:val="16"/>
    <w:link w:val="2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87CAA6-BF07-4C20-B40D-67088EDCE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179</Words>
  <Characters>1025</Characters>
  <Lines>8</Lines>
  <Paragraphs>2</Paragraphs>
  <ScaleCrop>false</ScaleCrop>
  <LinksUpToDate>false</LinksUpToDate>
  <CharactersWithSpaces>1202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2016-11-10T00:29:00Z</dcterms:created>
  <dc:creator>于佳</dc:creator>
  <cp:lastModifiedBy>Administrator</cp:lastModifiedBy>
  <dcterms:modified xsi:type="dcterms:W3CDTF">2016-11-29T08:44:27Z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