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C60" w:rsidRPr="0081487E" w:rsidRDefault="00963C60" w:rsidP="00963C60">
      <w:pPr>
        <w:shd w:val="clear" w:color="auto" w:fill="FFFFFF"/>
        <w:spacing w:line="480" w:lineRule="auto"/>
        <w:ind w:firstLine="420"/>
        <w:rPr>
          <w:rFonts w:ascii="inherit" w:hAnsi="inherit" w:hint="eastAsia"/>
          <w:color w:val="333333"/>
          <w:szCs w:val="21"/>
        </w:rPr>
      </w:pPr>
    </w:p>
    <w:p w:rsidR="00963C60" w:rsidRDefault="00E57FBF" w:rsidP="00E57FBF">
      <w:pPr>
        <w:shd w:val="clear" w:color="auto" w:fill="FFFFFF"/>
        <w:spacing w:line="480" w:lineRule="auto"/>
        <w:jc w:val="center"/>
        <w:rPr>
          <w:rFonts w:ascii="微软雅黑" w:eastAsia="微软雅黑" w:hAnsi="微软雅黑"/>
          <w:b/>
          <w:bCs/>
          <w:color w:val="0D0D0D" w:themeColor="text1" w:themeTint="F2"/>
          <w:sz w:val="30"/>
          <w:szCs w:val="30"/>
        </w:rPr>
      </w:pPr>
      <w:r>
        <w:rPr>
          <w:rFonts w:ascii="微软雅黑" w:eastAsia="微软雅黑" w:hAnsi="微软雅黑" w:hint="eastAsia"/>
          <w:b/>
          <w:bCs/>
          <w:color w:val="0D0D0D" w:themeColor="text1" w:themeTint="F2"/>
          <w:sz w:val="30"/>
          <w:szCs w:val="30"/>
        </w:rPr>
        <w:t>如何</w:t>
      </w:r>
      <w:r w:rsidR="00963C60" w:rsidRPr="00E57FBF">
        <w:rPr>
          <w:rFonts w:ascii="微软雅黑" w:eastAsia="微软雅黑" w:hAnsi="微软雅黑"/>
          <w:b/>
          <w:bCs/>
          <w:color w:val="0D0D0D" w:themeColor="text1" w:themeTint="F2"/>
          <w:sz w:val="30"/>
          <w:szCs w:val="30"/>
        </w:rPr>
        <w:t>识别非法证券活动以防范风险</w:t>
      </w:r>
      <w:r w:rsidRPr="00E57FBF">
        <w:rPr>
          <w:rFonts w:ascii="微软雅黑" w:eastAsia="微软雅黑" w:hAnsi="微软雅黑" w:hint="eastAsia"/>
          <w:b/>
          <w:bCs/>
          <w:color w:val="0D0D0D" w:themeColor="text1" w:themeTint="F2"/>
          <w:sz w:val="30"/>
          <w:szCs w:val="30"/>
        </w:rPr>
        <w:t>，</w:t>
      </w:r>
      <w:r>
        <w:rPr>
          <w:rFonts w:ascii="微软雅黑" w:eastAsia="微软雅黑" w:hAnsi="微软雅黑" w:hint="eastAsia"/>
          <w:b/>
          <w:bCs/>
          <w:color w:val="0D0D0D" w:themeColor="text1" w:themeTint="F2"/>
          <w:sz w:val="30"/>
          <w:szCs w:val="30"/>
        </w:rPr>
        <w:t>请</w:t>
      </w:r>
      <w:r w:rsidRPr="00E57FBF">
        <w:rPr>
          <w:rFonts w:ascii="微软雅黑" w:eastAsia="微软雅黑" w:hAnsi="微软雅黑" w:hint="eastAsia"/>
          <w:b/>
          <w:bCs/>
          <w:color w:val="0D0D0D" w:themeColor="text1" w:themeTint="F2"/>
          <w:sz w:val="30"/>
          <w:szCs w:val="30"/>
        </w:rPr>
        <w:t>记住“四个看”</w:t>
      </w:r>
    </w:p>
    <w:p w:rsidR="00A250B3" w:rsidRPr="00536775" w:rsidRDefault="00A250B3" w:rsidP="00E57FBF">
      <w:pPr>
        <w:shd w:val="clear" w:color="auto" w:fill="FFFFFF"/>
        <w:spacing w:line="480" w:lineRule="auto"/>
        <w:jc w:val="center"/>
        <w:rPr>
          <w:rFonts w:ascii="微软雅黑" w:eastAsia="微软雅黑" w:hAnsi="微软雅黑"/>
          <w:b/>
          <w:bCs/>
          <w:color w:val="0D0D0D" w:themeColor="text1" w:themeTint="F2"/>
          <w:sz w:val="30"/>
          <w:szCs w:val="30"/>
        </w:rPr>
      </w:pPr>
    </w:p>
    <w:p w:rsidR="00CD1FC6" w:rsidRDefault="00243333" w:rsidP="00243333">
      <w:pPr>
        <w:shd w:val="clear" w:color="auto" w:fill="FFFFFF"/>
        <w:spacing w:line="480" w:lineRule="auto"/>
        <w:rPr>
          <w:rFonts w:ascii="inherit" w:hAnsi="inherit" w:hint="eastAsia"/>
          <w:color w:val="333333"/>
          <w:sz w:val="21"/>
          <w:szCs w:val="21"/>
        </w:rPr>
      </w:pPr>
      <w:r>
        <w:rPr>
          <w:rFonts w:ascii="inherit" w:hAnsi="inherit" w:hint="eastAsia"/>
          <w:color w:val="333333"/>
          <w:sz w:val="21"/>
          <w:szCs w:val="21"/>
        </w:rPr>
        <w:t xml:space="preserve">      </w:t>
      </w:r>
      <w:r w:rsidRPr="0081487E">
        <w:rPr>
          <w:rFonts w:ascii="inherit" w:hAnsi="inherit"/>
          <w:color w:val="333333"/>
          <w:sz w:val="21"/>
          <w:szCs w:val="21"/>
        </w:rPr>
        <w:t>非法证券活动是一种典型的涉众型违法犯罪活动，严重干扰正常的经济金融秩序，破坏社会和谐稳定。不法分子往往使用虚假身份和虚假信息，通过夸大宣传、承诺收益等手段，以各种形式作掩护，引诱投资者上当受骗。不法分子骗取投资者钱财后，往往立即挥霍一空，或者逃之夭夭，投资者损失难以追回。</w:t>
      </w:r>
      <w:r w:rsidR="00963C60">
        <w:rPr>
          <w:rFonts w:ascii="inherit" w:hAnsi="inherit"/>
          <w:color w:val="333333"/>
          <w:sz w:val="21"/>
          <w:szCs w:val="21"/>
        </w:rPr>
        <w:t>近年来，随着政府对非法证券活动打击力度的不断加大，不法分子从事非法证券活动的手法不断翻新，非法证券活动的隐蔽性也越来越强。</w:t>
      </w:r>
    </w:p>
    <w:p w:rsidR="00243333" w:rsidRPr="00E57FBF" w:rsidRDefault="00243333" w:rsidP="00243333">
      <w:pPr>
        <w:shd w:val="clear" w:color="auto" w:fill="FFFFFF"/>
        <w:spacing w:line="480" w:lineRule="auto"/>
        <w:ind w:firstLine="420"/>
        <w:rPr>
          <w:rFonts w:ascii="inherit" w:hAnsi="inherit" w:hint="eastAsia"/>
          <w:color w:val="333333"/>
          <w:sz w:val="21"/>
          <w:szCs w:val="21"/>
        </w:rPr>
      </w:pPr>
      <w:r w:rsidRPr="0081487E">
        <w:rPr>
          <w:rFonts w:ascii="inherit" w:hAnsi="inherit"/>
          <w:color w:val="333333"/>
          <w:sz w:val="21"/>
          <w:szCs w:val="21"/>
        </w:rPr>
        <w:t>需要注意的是，投资者参与非法证券活动不受法律保护。根据</w:t>
      </w:r>
      <w:r w:rsidRPr="0081487E">
        <w:rPr>
          <w:rFonts w:ascii="inherit" w:hAnsi="inherit"/>
          <w:color w:val="333333"/>
          <w:sz w:val="21"/>
          <w:szCs w:val="21"/>
        </w:rPr>
        <w:t>1998</w:t>
      </w:r>
      <w:r w:rsidRPr="0081487E">
        <w:rPr>
          <w:rFonts w:ascii="inherit" w:hAnsi="inherit"/>
          <w:color w:val="333333"/>
          <w:sz w:val="21"/>
          <w:szCs w:val="21"/>
        </w:rPr>
        <w:t>年国务院发布的《非法金融机构和非法金融业务活动取缔办法》第</w:t>
      </w:r>
      <w:r w:rsidRPr="0081487E">
        <w:rPr>
          <w:rFonts w:ascii="inherit" w:hAnsi="inherit"/>
          <w:color w:val="333333"/>
          <w:sz w:val="21"/>
          <w:szCs w:val="21"/>
        </w:rPr>
        <w:t>18</w:t>
      </w:r>
      <w:r w:rsidRPr="0081487E">
        <w:rPr>
          <w:rFonts w:ascii="inherit" w:hAnsi="inherit"/>
          <w:color w:val="333333"/>
          <w:sz w:val="21"/>
          <w:szCs w:val="21"/>
        </w:rPr>
        <w:t>条规定，</w:t>
      </w:r>
      <w:r w:rsidRPr="0081487E">
        <w:rPr>
          <w:rFonts w:ascii="inherit" w:hAnsi="inherit"/>
          <w:color w:val="333333"/>
          <w:sz w:val="21"/>
          <w:szCs w:val="21"/>
        </w:rPr>
        <w:t>“</w:t>
      </w:r>
      <w:r w:rsidRPr="0081487E">
        <w:rPr>
          <w:rFonts w:ascii="inherit" w:hAnsi="inherit"/>
          <w:color w:val="333333"/>
          <w:sz w:val="21"/>
          <w:szCs w:val="21"/>
        </w:rPr>
        <w:t>因参与非法金融业务受到的损失，由参与者自行承担</w:t>
      </w:r>
      <w:r w:rsidRPr="0081487E">
        <w:rPr>
          <w:rFonts w:ascii="inherit" w:hAnsi="inherit"/>
          <w:color w:val="333333"/>
          <w:sz w:val="21"/>
          <w:szCs w:val="21"/>
        </w:rPr>
        <w:t>”</w:t>
      </w:r>
      <w:r w:rsidRPr="0081487E">
        <w:rPr>
          <w:rFonts w:ascii="inherit" w:hAnsi="inherit"/>
          <w:color w:val="333333"/>
          <w:sz w:val="21"/>
          <w:szCs w:val="21"/>
        </w:rPr>
        <w:t>。投资者如果参与非法证券活动，将面临</w:t>
      </w:r>
      <w:r w:rsidRPr="0081487E">
        <w:rPr>
          <w:rFonts w:ascii="inherit" w:hAnsi="inherit"/>
          <w:color w:val="333333"/>
          <w:sz w:val="21"/>
          <w:szCs w:val="21"/>
        </w:rPr>
        <w:t>“</w:t>
      </w:r>
      <w:r w:rsidRPr="0081487E">
        <w:rPr>
          <w:rFonts w:ascii="inherit" w:hAnsi="inherit"/>
          <w:color w:val="333333"/>
          <w:sz w:val="21"/>
          <w:szCs w:val="21"/>
        </w:rPr>
        <w:t>责任自负，损失自担</w:t>
      </w:r>
      <w:r w:rsidRPr="0081487E">
        <w:rPr>
          <w:rFonts w:ascii="inherit" w:hAnsi="inherit"/>
          <w:color w:val="333333"/>
          <w:sz w:val="21"/>
          <w:szCs w:val="21"/>
        </w:rPr>
        <w:t>”</w:t>
      </w:r>
      <w:r w:rsidRPr="0081487E">
        <w:rPr>
          <w:rFonts w:ascii="inherit" w:hAnsi="inherit"/>
          <w:color w:val="333333"/>
          <w:sz w:val="21"/>
          <w:szCs w:val="21"/>
        </w:rPr>
        <w:t>的结果。</w:t>
      </w:r>
      <w:r>
        <w:rPr>
          <w:rFonts w:ascii="inherit" w:hAnsi="inherit" w:hint="eastAsia"/>
          <w:color w:val="333333"/>
          <w:sz w:val="21"/>
          <w:szCs w:val="21"/>
        </w:rPr>
        <w:t>因此，需要每一个投资者提高对非法证券活动的防范意识，学会识别非法证券活动。</w:t>
      </w:r>
    </w:p>
    <w:p w:rsidR="00BC2F6A" w:rsidRDefault="00963C60">
      <w:pPr>
        <w:shd w:val="clear" w:color="auto" w:fill="FFFFFF"/>
        <w:spacing w:line="480" w:lineRule="auto"/>
        <w:ind w:firstLine="435"/>
        <w:rPr>
          <w:rFonts w:ascii="inherit" w:hAnsi="inherit" w:hint="eastAsia"/>
          <w:color w:val="333333"/>
          <w:sz w:val="21"/>
          <w:szCs w:val="21"/>
        </w:rPr>
      </w:pPr>
      <w:r>
        <w:rPr>
          <w:rFonts w:ascii="inherit" w:hAnsi="inherit"/>
          <w:color w:val="333333"/>
          <w:sz w:val="21"/>
          <w:szCs w:val="21"/>
        </w:rPr>
        <w:t>识别非法证券活动，可以从以下四个方面来判断：</w:t>
      </w:r>
    </w:p>
    <w:p w:rsidR="00963C60" w:rsidRDefault="00963C60" w:rsidP="00963C60">
      <w:pPr>
        <w:shd w:val="clear" w:color="auto" w:fill="FFFFFF"/>
        <w:spacing w:line="480" w:lineRule="auto"/>
        <w:rPr>
          <w:rFonts w:ascii="inherit" w:hAnsi="inherit" w:hint="eastAsia"/>
          <w:color w:val="333333"/>
          <w:sz w:val="21"/>
          <w:szCs w:val="21"/>
        </w:rPr>
      </w:pPr>
      <w:r w:rsidRPr="00963C60">
        <w:rPr>
          <w:rFonts w:ascii="inherit" w:hAnsi="inherit"/>
          <w:b/>
          <w:color w:val="333333"/>
          <w:sz w:val="21"/>
          <w:szCs w:val="21"/>
        </w:rPr>
        <w:t xml:space="preserve">　　</w:t>
      </w:r>
      <w:r w:rsidRPr="00963C60">
        <w:rPr>
          <w:rFonts w:ascii="inherit" w:hAnsi="inherit"/>
          <w:b/>
          <w:color w:val="333333"/>
          <w:sz w:val="21"/>
          <w:szCs w:val="21"/>
        </w:rPr>
        <w:t>1.</w:t>
      </w:r>
      <w:r w:rsidR="00E57FBF">
        <w:rPr>
          <w:rFonts w:ascii="inherit" w:hAnsi="inherit" w:hint="eastAsia"/>
          <w:b/>
          <w:color w:val="333333"/>
          <w:sz w:val="21"/>
          <w:szCs w:val="21"/>
        </w:rPr>
        <w:t>一</w:t>
      </w:r>
      <w:r w:rsidRPr="00963C60">
        <w:rPr>
          <w:rFonts w:ascii="inherit" w:hAnsi="inherit"/>
          <w:b/>
          <w:color w:val="333333"/>
          <w:sz w:val="21"/>
          <w:szCs w:val="21"/>
        </w:rPr>
        <w:t>看业务资质。</w:t>
      </w:r>
      <w:r>
        <w:rPr>
          <w:rFonts w:ascii="inherit" w:hAnsi="inherit"/>
          <w:color w:val="333333"/>
          <w:sz w:val="21"/>
          <w:szCs w:val="21"/>
        </w:rPr>
        <w:t>证券行业是特许经营行业，按照规定，开展证券业务需要经中国证监会批准，取得相应业务资格。未取得相应业务资格而开展证券业务的机构，是非法机构，请不要与这样的机构打交道，以免上当受骗。投资者如果想要知道一家公司是否获准公开发行，可以通过中国证监会网站（</w:t>
      </w:r>
      <w:r>
        <w:rPr>
          <w:rFonts w:ascii="inherit" w:hAnsi="inherit"/>
          <w:color w:val="333333"/>
          <w:sz w:val="21"/>
          <w:szCs w:val="21"/>
        </w:rPr>
        <w:t>www.csrc.gov.cn</w:t>
      </w:r>
      <w:r>
        <w:rPr>
          <w:rFonts w:ascii="inherit" w:hAnsi="inherit"/>
          <w:color w:val="333333"/>
          <w:sz w:val="21"/>
          <w:szCs w:val="21"/>
        </w:rPr>
        <w:t>）查询行政许可信息栏目，同时还可以登录上海证券交易所（</w:t>
      </w:r>
      <w:r>
        <w:rPr>
          <w:rFonts w:ascii="inherit" w:hAnsi="inherit"/>
          <w:color w:val="333333"/>
          <w:sz w:val="21"/>
          <w:szCs w:val="21"/>
        </w:rPr>
        <w:t>www.sse.com.cn</w:t>
      </w:r>
      <w:r>
        <w:rPr>
          <w:rFonts w:ascii="inherit" w:hAnsi="inherit"/>
          <w:color w:val="333333"/>
          <w:sz w:val="21"/>
          <w:szCs w:val="21"/>
        </w:rPr>
        <w:t>）、深圳证券交易所（</w:t>
      </w:r>
      <w:r>
        <w:rPr>
          <w:rFonts w:ascii="inherit" w:hAnsi="inherit"/>
          <w:color w:val="333333"/>
          <w:sz w:val="21"/>
          <w:szCs w:val="21"/>
        </w:rPr>
        <w:t>www.szse.cn</w:t>
      </w:r>
      <w:r>
        <w:rPr>
          <w:rFonts w:ascii="inherit" w:hAnsi="inherit"/>
          <w:color w:val="333333"/>
          <w:sz w:val="21"/>
          <w:szCs w:val="21"/>
        </w:rPr>
        <w:t>）网站查询新股发行的具体信息；如果想要知道一家公司或人员是否具备证券期货业务资格，可以登录中国证监会网站或中国证券业协会（</w:t>
      </w:r>
      <w:r>
        <w:rPr>
          <w:rFonts w:ascii="inherit" w:hAnsi="inherit"/>
          <w:color w:val="333333"/>
          <w:sz w:val="21"/>
          <w:szCs w:val="21"/>
        </w:rPr>
        <w:t>www.sac.net.cn</w:t>
      </w:r>
      <w:r>
        <w:rPr>
          <w:rFonts w:ascii="inherit" w:hAnsi="inherit"/>
          <w:color w:val="333333"/>
          <w:sz w:val="21"/>
          <w:szCs w:val="21"/>
        </w:rPr>
        <w:t>）网站进行查询。另外，全国中小企业股份转让系统有限责任公司也是经国务院批准的全国性证券交易场所，投资者可以登录其网站（</w:t>
      </w:r>
      <w:r>
        <w:rPr>
          <w:rFonts w:ascii="inherit" w:hAnsi="inherit"/>
          <w:color w:val="333333"/>
          <w:sz w:val="21"/>
          <w:szCs w:val="21"/>
        </w:rPr>
        <w:t>www.neeq.cc</w:t>
      </w:r>
      <w:r>
        <w:rPr>
          <w:rFonts w:ascii="inherit" w:hAnsi="inherit"/>
          <w:color w:val="333333"/>
          <w:sz w:val="21"/>
          <w:szCs w:val="21"/>
        </w:rPr>
        <w:t>）查询具有主办券商业务资格的证券公司和挂牌公司有关信息。</w:t>
      </w:r>
    </w:p>
    <w:p w:rsidR="00963C60" w:rsidRDefault="00963C60" w:rsidP="00963C60">
      <w:pPr>
        <w:shd w:val="clear" w:color="auto" w:fill="FFFFFF"/>
        <w:spacing w:line="480" w:lineRule="auto"/>
        <w:rPr>
          <w:rFonts w:ascii="inherit" w:hAnsi="inherit" w:hint="eastAsia"/>
          <w:color w:val="333333"/>
          <w:sz w:val="21"/>
          <w:szCs w:val="21"/>
        </w:rPr>
      </w:pPr>
      <w:r>
        <w:rPr>
          <w:rFonts w:ascii="inherit" w:hAnsi="inherit"/>
          <w:color w:val="333333"/>
          <w:sz w:val="21"/>
          <w:szCs w:val="21"/>
        </w:rPr>
        <w:lastRenderedPageBreak/>
        <w:t xml:space="preserve">　</w:t>
      </w:r>
      <w:r w:rsidRPr="00963C60">
        <w:rPr>
          <w:rFonts w:ascii="inherit" w:hAnsi="inherit"/>
          <w:b/>
          <w:color w:val="333333"/>
          <w:sz w:val="21"/>
          <w:szCs w:val="21"/>
        </w:rPr>
        <w:t xml:space="preserve">　</w:t>
      </w:r>
      <w:r w:rsidRPr="00963C60">
        <w:rPr>
          <w:rFonts w:ascii="inherit" w:hAnsi="inherit"/>
          <w:b/>
          <w:color w:val="333333"/>
          <w:sz w:val="21"/>
          <w:szCs w:val="21"/>
        </w:rPr>
        <w:t>2.</w:t>
      </w:r>
      <w:r w:rsidR="00E57FBF">
        <w:rPr>
          <w:rFonts w:ascii="inherit" w:hAnsi="inherit" w:hint="eastAsia"/>
          <w:b/>
          <w:color w:val="333333"/>
          <w:sz w:val="21"/>
          <w:szCs w:val="21"/>
        </w:rPr>
        <w:t>二</w:t>
      </w:r>
      <w:r w:rsidRPr="00963C60">
        <w:rPr>
          <w:rFonts w:ascii="inherit" w:hAnsi="inherit"/>
          <w:b/>
          <w:color w:val="333333"/>
          <w:sz w:val="21"/>
          <w:szCs w:val="21"/>
        </w:rPr>
        <w:t>看营销方式</w:t>
      </w:r>
      <w:r>
        <w:rPr>
          <w:rFonts w:ascii="inherit" w:hAnsi="inherit"/>
          <w:color w:val="333333"/>
          <w:sz w:val="21"/>
          <w:szCs w:val="21"/>
        </w:rPr>
        <w:t>。开展证券业务活动，要遵守证券法律法规有关投资者适当性管理的要求，合法的证券经营机构在进行业务宣传推介时，一般会采用谨慎用语，不会夸大宣传、虚假宣传，同时还会按要求充分揭示业务风险。但是，不法分子大多利用投资者</w:t>
      </w:r>
      <w:r>
        <w:rPr>
          <w:rFonts w:ascii="inherit" w:hAnsi="inherit"/>
          <w:color w:val="333333"/>
          <w:sz w:val="21"/>
          <w:szCs w:val="21"/>
        </w:rPr>
        <w:t>“</w:t>
      </w:r>
      <w:r>
        <w:rPr>
          <w:rFonts w:ascii="inherit" w:hAnsi="inherit"/>
          <w:color w:val="333333"/>
          <w:sz w:val="21"/>
          <w:szCs w:val="21"/>
        </w:rPr>
        <w:t>一夜暴富</w:t>
      </w:r>
      <w:r>
        <w:rPr>
          <w:rFonts w:ascii="inherit" w:hAnsi="inherit"/>
          <w:color w:val="333333"/>
          <w:sz w:val="21"/>
          <w:szCs w:val="21"/>
        </w:rPr>
        <w:t>”</w:t>
      </w:r>
      <w:r>
        <w:rPr>
          <w:rFonts w:ascii="inherit" w:hAnsi="inherit"/>
          <w:color w:val="333333"/>
          <w:sz w:val="21"/>
          <w:szCs w:val="21"/>
        </w:rPr>
        <w:t>或急于扭亏的心理，较多采用夸张、煽动或吸引眼球的宣传用语，往往自称</w:t>
      </w:r>
      <w:r>
        <w:rPr>
          <w:rFonts w:ascii="inherit" w:hAnsi="inherit"/>
          <w:color w:val="333333"/>
          <w:sz w:val="21"/>
          <w:szCs w:val="21"/>
        </w:rPr>
        <w:t>“</w:t>
      </w:r>
      <w:r>
        <w:rPr>
          <w:rFonts w:ascii="inherit" w:hAnsi="inherit"/>
          <w:color w:val="333333"/>
          <w:sz w:val="21"/>
          <w:szCs w:val="21"/>
        </w:rPr>
        <w:t>老师</w:t>
      </w:r>
      <w:r>
        <w:rPr>
          <w:rFonts w:ascii="inherit" w:hAnsi="inherit"/>
          <w:color w:val="333333"/>
          <w:sz w:val="21"/>
          <w:szCs w:val="21"/>
        </w:rPr>
        <w:t>”</w:t>
      </w:r>
      <w:r>
        <w:rPr>
          <w:rFonts w:ascii="inherit" w:hAnsi="inherit"/>
          <w:color w:val="333333"/>
          <w:sz w:val="21"/>
          <w:szCs w:val="21"/>
        </w:rPr>
        <w:t>、</w:t>
      </w:r>
      <w:r>
        <w:rPr>
          <w:rFonts w:ascii="inherit" w:hAnsi="inherit"/>
          <w:color w:val="333333"/>
          <w:sz w:val="21"/>
          <w:szCs w:val="21"/>
        </w:rPr>
        <w:t>“</w:t>
      </w:r>
      <w:r>
        <w:rPr>
          <w:rFonts w:ascii="inherit" w:hAnsi="inherit"/>
          <w:color w:val="333333"/>
          <w:sz w:val="21"/>
          <w:szCs w:val="21"/>
        </w:rPr>
        <w:t>股神</w:t>
      </w:r>
      <w:r>
        <w:rPr>
          <w:rFonts w:ascii="inherit" w:hAnsi="inherit"/>
          <w:color w:val="333333"/>
          <w:sz w:val="21"/>
          <w:szCs w:val="21"/>
        </w:rPr>
        <w:t>”</w:t>
      </w:r>
      <w:r>
        <w:rPr>
          <w:rFonts w:ascii="inherit" w:hAnsi="inherit"/>
          <w:color w:val="333333"/>
          <w:sz w:val="21"/>
          <w:szCs w:val="21"/>
        </w:rPr>
        <w:t>，以</w:t>
      </w:r>
      <w:r>
        <w:rPr>
          <w:rFonts w:ascii="inherit" w:hAnsi="inherit"/>
          <w:color w:val="333333"/>
          <w:sz w:val="21"/>
          <w:szCs w:val="21"/>
        </w:rPr>
        <w:t>“</w:t>
      </w:r>
      <w:r>
        <w:rPr>
          <w:rFonts w:ascii="inherit" w:hAnsi="inherit"/>
          <w:color w:val="333333"/>
          <w:sz w:val="21"/>
          <w:szCs w:val="21"/>
        </w:rPr>
        <w:t>跟买即涨停</w:t>
      </w:r>
      <w:r>
        <w:rPr>
          <w:rFonts w:ascii="inherit" w:hAnsi="inherit"/>
          <w:color w:val="333333"/>
          <w:sz w:val="21"/>
          <w:szCs w:val="21"/>
        </w:rPr>
        <w:t>”</w:t>
      </w:r>
      <w:r>
        <w:rPr>
          <w:rFonts w:ascii="inherit" w:hAnsi="inherit"/>
          <w:color w:val="333333"/>
          <w:sz w:val="21"/>
          <w:szCs w:val="21"/>
        </w:rPr>
        <w:t>、</w:t>
      </w:r>
      <w:r>
        <w:rPr>
          <w:rFonts w:ascii="inherit" w:hAnsi="inherit"/>
          <w:color w:val="333333"/>
          <w:sz w:val="21"/>
          <w:szCs w:val="21"/>
        </w:rPr>
        <w:t>“</w:t>
      </w:r>
      <w:r>
        <w:rPr>
          <w:rFonts w:ascii="inherit" w:hAnsi="inherit"/>
          <w:color w:val="333333"/>
          <w:sz w:val="21"/>
          <w:szCs w:val="21"/>
        </w:rPr>
        <w:t>推荐黑马</w:t>
      </w:r>
      <w:r>
        <w:rPr>
          <w:rFonts w:ascii="inherit" w:hAnsi="inherit"/>
          <w:color w:val="333333"/>
          <w:sz w:val="21"/>
          <w:szCs w:val="21"/>
        </w:rPr>
        <w:t>”</w:t>
      </w:r>
      <w:r>
        <w:rPr>
          <w:rFonts w:ascii="inherit" w:hAnsi="inherit"/>
          <w:color w:val="333333"/>
          <w:sz w:val="21"/>
          <w:szCs w:val="21"/>
        </w:rPr>
        <w:t>、</w:t>
      </w:r>
      <w:r>
        <w:rPr>
          <w:rFonts w:ascii="inherit" w:hAnsi="inherit"/>
          <w:color w:val="333333"/>
          <w:sz w:val="21"/>
          <w:szCs w:val="21"/>
        </w:rPr>
        <w:t>“</w:t>
      </w:r>
      <w:r>
        <w:rPr>
          <w:rFonts w:ascii="inherit" w:hAnsi="inherit"/>
          <w:color w:val="333333"/>
          <w:sz w:val="21"/>
          <w:szCs w:val="21"/>
        </w:rPr>
        <w:t>提供内幕信息</w:t>
      </w:r>
      <w:r>
        <w:rPr>
          <w:rFonts w:ascii="inherit" w:hAnsi="inherit"/>
          <w:color w:val="333333"/>
          <w:sz w:val="21"/>
          <w:szCs w:val="21"/>
        </w:rPr>
        <w:t>”</w:t>
      </w:r>
      <w:r>
        <w:rPr>
          <w:rFonts w:ascii="inherit" w:hAnsi="inherit"/>
          <w:color w:val="333333"/>
          <w:sz w:val="21"/>
          <w:szCs w:val="21"/>
        </w:rPr>
        <w:t>、</w:t>
      </w:r>
      <w:r>
        <w:rPr>
          <w:rFonts w:ascii="inherit" w:hAnsi="inherit"/>
          <w:color w:val="333333"/>
          <w:sz w:val="21"/>
          <w:szCs w:val="21"/>
        </w:rPr>
        <w:t>“</w:t>
      </w:r>
      <w:r>
        <w:rPr>
          <w:rFonts w:ascii="inherit" w:hAnsi="inherit"/>
          <w:color w:val="333333"/>
          <w:sz w:val="21"/>
          <w:szCs w:val="21"/>
        </w:rPr>
        <w:t>包赚不赔</w:t>
      </w:r>
      <w:r>
        <w:rPr>
          <w:rFonts w:ascii="inherit" w:hAnsi="inherit"/>
          <w:color w:val="333333"/>
          <w:sz w:val="21"/>
          <w:szCs w:val="21"/>
        </w:rPr>
        <w:t>”</w:t>
      </w:r>
      <w:r>
        <w:rPr>
          <w:rFonts w:ascii="inherit" w:hAnsi="inherit"/>
          <w:color w:val="333333"/>
          <w:sz w:val="21"/>
          <w:szCs w:val="21"/>
        </w:rPr>
        <w:t>、</w:t>
      </w:r>
      <w:r>
        <w:rPr>
          <w:rFonts w:ascii="inherit" w:hAnsi="inherit"/>
          <w:color w:val="333333"/>
          <w:sz w:val="21"/>
          <w:szCs w:val="21"/>
        </w:rPr>
        <w:t>“</w:t>
      </w:r>
      <w:r>
        <w:rPr>
          <w:rFonts w:ascii="inherit" w:hAnsi="inherit"/>
          <w:color w:val="333333"/>
          <w:sz w:val="21"/>
          <w:szCs w:val="21"/>
        </w:rPr>
        <w:t>保证上市</w:t>
      </w:r>
      <w:r>
        <w:rPr>
          <w:rFonts w:ascii="inherit" w:hAnsi="inherit"/>
          <w:color w:val="333333"/>
          <w:sz w:val="21"/>
          <w:szCs w:val="21"/>
        </w:rPr>
        <w:t>”</w:t>
      </w:r>
      <w:r>
        <w:rPr>
          <w:rFonts w:ascii="inherit" w:hAnsi="inherit"/>
          <w:color w:val="333333"/>
          <w:sz w:val="21"/>
          <w:szCs w:val="21"/>
        </w:rPr>
        <w:t>、</w:t>
      </w:r>
      <w:r>
        <w:rPr>
          <w:rFonts w:ascii="inherit" w:hAnsi="inherit"/>
          <w:color w:val="333333"/>
          <w:sz w:val="21"/>
          <w:szCs w:val="21"/>
        </w:rPr>
        <w:t>“</w:t>
      </w:r>
      <w:r>
        <w:rPr>
          <w:rFonts w:ascii="inherit" w:hAnsi="inherit"/>
          <w:color w:val="333333"/>
          <w:sz w:val="21"/>
          <w:szCs w:val="21"/>
        </w:rPr>
        <w:t>专家一对一贴身指导</w:t>
      </w:r>
      <w:r>
        <w:rPr>
          <w:rFonts w:ascii="inherit" w:hAnsi="inherit"/>
          <w:color w:val="333333"/>
          <w:sz w:val="21"/>
          <w:szCs w:val="21"/>
        </w:rPr>
        <w:t>”</w:t>
      </w:r>
      <w:r>
        <w:rPr>
          <w:rFonts w:ascii="inherit" w:hAnsi="inherit"/>
          <w:color w:val="333333"/>
          <w:sz w:val="21"/>
          <w:szCs w:val="21"/>
        </w:rPr>
        <w:t>、</w:t>
      </w:r>
      <w:r>
        <w:rPr>
          <w:rFonts w:ascii="inherit" w:hAnsi="inherit"/>
          <w:color w:val="333333"/>
          <w:sz w:val="21"/>
          <w:szCs w:val="21"/>
        </w:rPr>
        <w:t>“</w:t>
      </w:r>
      <w:r>
        <w:rPr>
          <w:rFonts w:ascii="inherit" w:hAnsi="inherit"/>
          <w:color w:val="333333"/>
          <w:sz w:val="21"/>
          <w:szCs w:val="21"/>
        </w:rPr>
        <w:t>对接私募</w:t>
      </w:r>
      <w:r>
        <w:rPr>
          <w:rFonts w:ascii="inherit" w:hAnsi="inherit"/>
          <w:color w:val="333333"/>
          <w:sz w:val="21"/>
          <w:szCs w:val="21"/>
        </w:rPr>
        <w:t>”</w:t>
      </w:r>
      <w:r>
        <w:rPr>
          <w:rFonts w:ascii="inherit" w:hAnsi="inherit"/>
          <w:color w:val="333333"/>
          <w:sz w:val="21"/>
          <w:szCs w:val="21"/>
        </w:rPr>
        <w:t>等说法吸引投资者。证券期货投资是有风险的，不可能稳赚不赔。</w:t>
      </w:r>
    </w:p>
    <w:p w:rsidR="00963C60" w:rsidRDefault="00963C60" w:rsidP="00963C60">
      <w:pPr>
        <w:shd w:val="clear" w:color="auto" w:fill="FFFFFF"/>
        <w:spacing w:line="480" w:lineRule="auto"/>
        <w:rPr>
          <w:rFonts w:ascii="inherit" w:hAnsi="inherit" w:hint="eastAsia"/>
          <w:color w:val="333333"/>
          <w:sz w:val="21"/>
          <w:szCs w:val="21"/>
        </w:rPr>
      </w:pPr>
      <w:r>
        <w:rPr>
          <w:rFonts w:ascii="inherit" w:hAnsi="inherit"/>
          <w:color w:val="333333"/>
          <w:sz w:val="21"/>
          <w:szCs w:val="21"/>
        </w:rPr>
        <w:t xml:space="preserve">　</w:t>
      </w:r>
      <w:r w:rsidRPr="00963C60">
        <w:rPr>
          <w:rFonts w:ascii="inherit" w:hAnsi="inherit"/>
          <w:b/>
          <w:color w:val="333333"/>
          <w:sz w:val="21"/>
          <w:szCs w:val="21"/>
        </w:rPr>
        <w:t xml:space="preserve">　</w:t>
      </w:r>
      <w:r w:rsidRPr="00963C60">
        <w:rPr>
          <w:rFonts w:ascii="inherit" w:hAnsi="inherit"/>
          <w:b/>
          <w:color w:val="333333"/>
          <w:sz w:val="21"/>
          <w:szCs w:val="21"/>
        </w:rPr>
        <w:t>3.</w:t>
      </w:r>
      <w:r w:rsidR="00E57FBF">
        <w:rPr>
          <w:rFonts w:ascii="inherit" w:hAnsi="inherit" w:hint="eastAsia"/>
          <w:b/>
          <w:color w:val="333333"/>
          <w:sz w:val="21"/>
          <w:szCs w:val="21"/>
        </w:rPr>
        <w:t>三</w:t>
      </w:r>
      <w:r w:rsidRPr="00963C60">
        <w:rPr>
          <w:rFonts w:ascii="inherit" w:hAnsi="inherit"/>
          <w:b/>
          <w:color w:val="333333"/>
          <w:sz w:val="21"/>
          <w:szCs w:val="21"/>
        </w:rPr>
        <w:t>看汇款账号。</w:t>
      </w:r>
      <w:r>
        <w:rPr>
          <w:rFonts w:ascii="inherit" w:hAnsi="inherit"/>
          <w:color w:val="333333"/>
          <w:sz w:val="21"/>
          <w:szCs w:val="21"/>
        </w:rPr>
        <w:t>一般来说，非法证券活动的目的是为了骗取投资者钱财，获取非法所得。为达此目的，不法分子往往会采取各种推销手段，如打折、优惠、频繁催款、制造紧迫感等方式，催促投资者尽快将资金打入其控制的银行账户。合法证券经营机构只能以公司名义对外开展业务，也只能以公司的名义开立银行账户，不会用个人账户或非本机构账户进行收款。投资者在汇款环节应当格外谨慎，如果收款账户为个人账户或与该机构名称不符，投资者一定不要向其汇款。</w:t>
      </w:r>
    </w:p>
    <w:p w:rsidR="00963C60" w:rsidRDefault="00963C60" w:rsidP="00E57FBF">
      <w:pPr>
        <w:shd w:val="clear" w:color="auto" w:fill="FFFFFF"/>
        <w:spacing w:line="480" w:lineRule="auto"/>
        <w:ind w:firstLine="420"/>
        <w:rPr>
          <w:rFonts w:ascii="inherit" w:hAnsi="inherit" w:hint="eastAsia"/>
          <w:color w:val="333333"/>
          <w:sz w:val="21"/>
          <w:szCs w:val="21"/>
        </w:rPr>
      </w:pPr>
      <w:r w:rsidRPr="00963C60">
        <w:rPr>
          <w:rFonts w:ascii="inherit" w:hAnsi="inherit"/>
          <w:b/>
          <w:color w:val="333333"/>
          <w:sz w:val="21"/>
          <w:szCs w:val="21"/>
        </w:rPr>
        <w:t>4</w:t>
      </w:r>
      <w:r w:rsidRPr="00963C60">
        <w:rPr>
          <w:rFonts w:ascii="inherit" w:hAnsi="inherit"/>
          <w:b/>
          <w:color w:val="333333"/>
          <w:sz w:val="21"/>
          <w:szCs w:val="21"/>
        </w:rPr>
        <w:t>、</w:t>
      </w:r>
      <w:r w:rsidR="00E57FBF">
        <w:rPr>
          <w:rFonts w:ascii="inherit" w:hAnsi="inherit" w:hint="eastAsia"/>
          <w:b/>
          <w:color w:val="333333"/>
          <w:sz w:val="21"/>
          <w:szCs w:val="21"/>
        </w:rPr>
        <w:t>四</w:t>
      </w:r>
      <w:r w:rsidRPr="00963C60">
        <w:rPr>
          <w:rFonts w:ascii="inherit" w:hAnsi="inherit"/>
          <w:b/>
          <w:color w:val="333333"/>
          <w:sz w:val="21"/>
          <w:szCs w:val="21"/>
        </w:rPr>
        <w:t>看互联网址。</w:t>
      </w:r>
      <w:r>
        <w:rPr>
          <w:rFonts w:ascii="inherit" w:hAnsi="inherit"/>
          <w:color w:val="333333"/>
          <w:sz w:val="21"/>
          <w:szCs w:val="21"/>
        </w:rPr>
        <w:t>非法证券网站的网址往往采用无特殊意义的字母和数字构成，或在合法证券经营机构网址的基础上变换或增加字母和数字。投资者可通过证监会网站或中国证券业协会，查看合法证券经营机构的网址，不要登陆非法证券网站，以免误入陷阱，蒙受损失。</w:t>
      </w:r>
    </w:p>
    <w:p w:rsidR="007D42B8" w:rsidRDefault="007D42B8" w:rsidP="00E57FBF">
      <w:pPr>
        <w:shd w:val="clear" w:color="auto" w:fill="FFFFFF"/>
        <w:spacing w:line="480" w:lineRule="auto"/>
        <w:rPr>
          <w:rFonts w:ascii="inherit" w:hAnsi="inherit" w:hint="eastAsia"/>
          <w:color w:val="333333"/>
          <w:sz w:val="21"/>
          <w:szCs w:val="21"/>
        </w:rPr>
      </w:pPr>
      <w:r>
        <w:rPr>
          <w:rFonts w:ascii="inherit" w:hAnsi="inherit" w:hint="eastAsia"/>
          <w:color w:val="333333"/>
          <w:sz w:val="21"/>
          <w:szCs w:val="21"/>
        </w:rPr>
        <w:t xml:space="preserve">    </w:t>
      </w:r>
    </w:p>
    <w:p w:rsidR="00BC2F6A" w:rsidRDefault="007D42B8">
      <w:pPr>
        <w:shd w:val="clear" w:color="auto" w:fill="FFFFFF"/>
        <w:spacing w:line="480" w:lineRule="auto"/>
        <w:rPr>
          <w:rFonts w:ascii="inherit" w:hAnsi="inherit" w:hint="eastAsia"/>
          <w:color w:val="333333"/>
          <w:sz w:val="21"/>
          <w:szCs w:val="21"/>
        </w:rPr>
      </w:pPr>
      <w:r>
        <w:rPr>
          <w:rFonts w:ascii="inherit" w:hAnsi="inherit" w:hint="eastAsia"/>
          <w:color w:val="333333"/>
          <w:sz w:val="21"/>
          <w:szCs w:val="21"/>
        </w:rPr>
        <w:t xml:space="preserve">  </w:t>
      </w:r>
    </w:p>
    <w:p w:rsidR="00E57FBF" w:rsidRPr="00E57FBF" w:rsidRDefault="00E57FBF" w:rsidP="00E57FBF">
      <w:pPr>
        <w:shd w:val="clear" w:color="auto" w:fill="FFFFFF"/>
        <w:spacing w:line="480" w:lineRule="auto"/>
        <w:ind w:firstLine="420"/>
        <w:rPr>
          <w:rFonts w:ascii="inherit" w:hAnsi="inherit" w:hint="eastAsia"/>
          <w:color w:val="333333"/>
          <w:sz w:val="21"/>
          <w:szCs w:val="21"/>
        </w:rPr>
      </w:pPr>
    </w:p>
    <w:p w:rsidR="0081487E" w:rsidRPr="0081487E" w:rsidRDefault="0081487E" w:rsidP="0081487E">
      <w:pPr>
        <w:jc w:val="center"/>
        <w:rPr>
          <w:color w:val="0D0D0D" w:themeColor="text1" w:themeTint="F2"/>
        </w:rPr>
      </w:pPr>
      <w:r w:rsidRPr="0081487E">
        <w:rPr>
          <w:rFonts w:ascii="inherit" w:hAnsi="inherit"/>
          <w:color w:val="333333"/>
          <w:szCs w:val="21"/>
        </w:rPr>
        <w:br/>
      </w:r>
    </w:p>
    <w:sectPr w:rsidR="0081487E" w:rsidRPr="0081487E" w:rsidSect="006F03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32A" w:rsidRDefault="0088632A" w:rsidP="00CD1FC6">
      <w:r>
        <w:separator/>
      </w:r>
    </w:p>
  </w:endnote>
  <w:endnote w:type="continuationSeparator" w:id="1">
    <w:p w:rsidR="0088632A" w:rsidRDefault="0088632A" w:rsidP="00CD1F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32A" w:rsidRDefault="0088632A" w:rsidP="00CD1FC6">
      <w:r>
        <w:separator/>
      </w:r>
    </w:p>
  </w:footnote>
  <w:footnote w:type="continuationSeparator" w:id="1">
    <w:p w:rsidR="0088632A" w:rsidRDefault="0088632A" w:rsidP="00CD1F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87E"/>
    <w:rsid w:val="00050B8B"/>
    <w:rsid w:val="0006286E"/>
    <w:rsid w:val="00243333"/>
    <w:rsid w:val="002A132E"/>
    <w:rsid w:val="00536775"/>
    <w:rsid w:val="006F0375"/>
    <w:rsid w:val="00752638"/>
    <w:rsid w:val="007D42B8"/>
    <w:rsid w:val="0081487E"/>
    <w:rsid w:val="0088632A"/>
    <w:rsid w:val="008977DF"/>
    <w:rsid w:val="00963C60"/>
    <w:rsid w:val="00A250B3"/>
    <w:rsid w:val="00B1535B"/>
    <w:rsid w:val="00B25FEC"/>
    <w:rsid w:val="00BC2F6A"/>
    <w:rsid w:val="00CD1FC6"/>
    <w:rsid w:val="00E57F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C60"/>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1F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1FC6"/>
    <w:rPr>
      <w:rFonts w:ascii="宋体" w:eastAsia="宋体" w:hAnsi="宋体" w:cs="宋体"/>
      <w:kern w:val="0"/>
      <w:sz w:val="18"/>
      <w:szCs w:val="18"/>
    </w:rPr>
  </w:style>
  <w:style w:type="paragraph" w:styleId="a4">
    <w:name w:val="footer"/>
    <w:basedOn w:val="a"/>
    <w:link w:val="Char0"/>
    <w:uiPriority w:val="99"/>
    <w:semiHidden/>
    <w:unhideWhenUsed/>
    <w:rsid w:val="00CD1FC6"/>
    <w:pPr>
      <w:tabs>
        <w:tab w:val="center" w:pos="4153"/>
        <w:tab w:val="right" w:pos="8306"/>
      </w:tabs>
      <w:snapToGrid w:val="0"/>
    </w:pPr>
    <w:rPr>
      <w:sz w:val="18"/>
      <w:szCs w:val="18"/>
    </w:rPr>
  </w:style>
  <w:style w:type="character" w:customStyle="1" w:styleId="Char0">
    <w:name w:val="页脚 Char"/>
    <w:basedOn w:val="a0"/>
    <w:link w:val="a4"/>
    <w:uiPriority w:val="99"/>
    <w:semiHidden/>
    <w:rsid w:val="00CD1FC6"/>
    <w:rPr>
      <w:rFonts w:ascii="宋体" w:eastAsia="宋体" w:hAnsi="宋体" w:cs="宋体"/>
      <w:kern w:val="0"/>
      <w:sz w:val="18"/>
      <w:szCs w:val="18"/>
    </w:rPr>
  </w:style>
  <w:style w:type="paragraph" w:styleId="a5">
    <w:name w:val="Balloon Text"/>
    <w:basedOn w:val="a"/>
    <w:link w:val="Char1"/>
    <w:uiPriority w:val="99"/>
    <w:semiHidden/>
    <w:unhideWhenUsed/>
    <w:rsid w:val="00CD1FC6"/>
    <w:rPr>
      <w:sz w:val="18"/>
      <w:szCs w:val="18"/>
    </w:rPr>
  </w:style>
  <w:style w:type="character" w:customStyle="1" w:styleId="Char1">
    <w:name w:val="批注框文本 Char"/>
    <w:basedOn w:val="a0"/>
    <w:link w:val="a5"/>
    <w:uiPriority w:val="99"/>
    <w:semiHidden/>
    <w:rsid w:val="00CD1FC6"/>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905142074">
      <w:bodyDiv w:val="1"/>
      <w:marLeft w:val="0"/>
      <w:marRight w:val="0"/>
      <w:marTop w:val="0"/>
      <w:marBottom w:val="0"/>
      <w:divBdr>
        <w:top w:val="none" w:sz="0" w:space="0" w:color="auto"/>
        <w:left w:val="none" w:sz="0" w:space="0" w:color="auto"/>
        <w:bottom w:val="none" w:sz="0" w:space="0" w:color="auto"/>
        <w:right w:val="none" w:sz="0" w:space="0" w:color="auto"/>
      </w:divBdr>
      <w:divsChild>
        <w:div w:id="369766521">
          <w:marLeft w:val="0"/>
          <w:marRight w:val="0"/>
          <w:marTop w:val="0"/>
          <w:marBottom w:val="0"/>
          <w:divBdr>
            <w:top w:val="none" w:sz="0" w:space="0" w:color="auto"/>
            <w:left w:val="none" w:sz="0" w:space="0" w:color="auto"/>
            <w:bottom w:val="none" w:sz="0" w:space="0" w:color="auto"/>
            <w:right w:val="none" w:sz="0" w:space="0" w:color="auto"/>
          </w:divBdr>
          <w:divsChild>
            <w:div w:id="802425033">
              <w:marLeft w:val="0"/>
              <w:marRight w:val="0"/>
              <w:marTop w:val="0"/>
              <w:marBottom w:val="0"/>
              <w:divBdr>
                <w:top w:val="none" w:sz="0" w:space="0" w:color="auto"/>
                <w:left w:val="none" w:sz="0" w:space="0" w:color="auto"/>
                <w:bottom w:val="none" w:sz="0" w:space="0" w:color="auto"/>
                <w:right w:val="none" w:sz="0" w:space="0" w:color="auto"/>
              </w:divBdr>
              <w:divsChild>
                <w:div w:id="122190374">
                  <w:marLeft w:val="105"/>
                  <w:marRight w:val="105"/>
                  <w:marTop w:val="0"/>
                  <w:marBottom w:val="0"/>
                  <w:divBdr>
                    <w:top w:val="none" w:sz="0" w:space="0" w:color="auto"/>
                    <w:left w:val="none" w:sz="0" w:space="0" w:color="auto"/>
                    <w:bottom w:val="none" w:sz="0" w:space="0" w:color="auto"/>
                    <w:right w:val="none" w:sz="0" w:space="0" w:color="auto"/>
                  </w:divBdr>
                  <w:divsChild>
                    <w:div w:id="899101099">
                      <w:marLeft w:val="0"/>
                      <w:marRight w:val="0"/>
                      <w:marTop w:val="0"/>
                      <w:marBottom w:val="0"/>
                      <w:divBdr>
                        <w:top w:val="none" w:sz="0" w:space="0" w:color="auto"/>
                        <w:left w:val="none" w:sz="0" w:space="0" w:color="auto"/>
                        <w:bottom w:val="none" w:sz="0" w:space="0" w:color="auto"/>
                        <w:right w:val="none" w:sz="0" w:space="0" w:color="auto"/>
                      </w:divBdr>
                      <w:divsChild>
                        <w:div w:id="1169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00136">
      <w:bodyDiv w:val="1"/>
      <w:marLeft w:val="0"/>
      <w:marRight w:val="0"/>
      <w:marTop w:val="0"/>
      <w:marBottom w:val="0"/>
      <w:divBdr>
        <w:top w:val="none" w:sz="0" w:space="0" w:color="auto"/>
        <w:left w:val="none" w:sz="0" w:space="0" w:color="auto"/>
        <w:bottom w:val="none" w:sz="0" w:space="0" w:color="auto"/>
        <w:right w:val="none" w:sz="0" w:space="0" w:color="auto"/>
      </w:divBdr>
      <w:divsChild>
        <w:div w:id="48848478">
          <w:marLeft w:val="0"/>
          <w:marRight w:val="0"/>
          <w:marTop w:val="0"/>
          <w:marBottom w:val="0"/>
          <w:divBdr>
            <w:top w:val="none" w:sz="0" w:space="0" w:color="auto"/>
            <w:left w:val="none" w:sz="0" w:space="0" w:color="auto"/>
            <w:bottom w:val="none" w:sz="0" w:space="0" w:color="auto"/>
            <w:right w:val="none" w:sz="0" w:space="0" w:color="auto"/>
          </w:divBdr>
          <w:divsChild>
            <w:div w:id="185219129">
              <w:marLeft w:val="0"/>
              <w:marRight w:val="0"/>
              <w:marTop w:val="0"/>
              <w:marBottom w:val="0"/>
              <w:divBdr>
                <w:top w:val="none" w:sz="0" w:space="0" w:color="auto"/>
                <w:left w:val="none" w:sz="0" w:space="0" w:color="auto"/>
                <w:bottom w:val="none" w:sz="0" w:space="0" w:color="auto"/>
                <w:right w:val="none" w:sz="0" w:space="0" w:color="auto"/>
              </w:divBdr>
              <w:divsChild>
                <w:div w:id="1754156908">
                  <w:marLeft w:val="105"/>
                  <w:marRight w:val="105"/>
                  <w:marTop w:val="0"/>
                  <w:marBottom w:val="0"/>
                  <w:divBdr>
                    <w:top w:val="none" w:sz="0" w:space="0" w:color="auto"/>
                    <w:left w:val="none" w:sz="0" w:space="0" w:color="auto"/>
                    <w:bottom w:val="none" w:sz="0" w:space="0" w:color="auto"/>
                    <w:right w:val="none" w:sz="0" w:space="0" w:color="auto"/>
                  </w:divBdr>
                  <w:divsChild>
                    <w:div w:id="1383166810">
                      <w:marLeft w:val="0"/>
                      <w:marRight w:val="0"/>
                      <w:marTop w:val="0"/>
                      <w:marBottom w:val="0"/>
                      <w:divBdr>
                        <w:top w:val="none" w:sz="0" w:space="0" w:color="auto"/>
                        <w:left w:val="none" w:sz="0" w:space="0" w:color="auto"/>
                        <w:bottom w:val="none" w:sz="0" w:space="0" w:color="auto"/>
                        <w:right w:val="none" w:sz="0" w:space="0" w:color="auto"/>
                      </w:divBdr>
                      <w:divsChild>
                        <w:div w:id="149818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80D29-0322-4E6C-87A6-55412458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1189</Characters>
  <Application>Microsoft Office Word</Application>
  <DocSecurity>0</DocSecurity>
  <Lines>9</Lines>
  <Paragraphs>2</Paragraphs>
  <ScaleCrop>false</ScaleCrop>
  <Company>Lenovo</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于佳</dc:creator>
  <cp:lastModifiedBy>hp</cp:lastModifiedBy>
  <cp:revision>2</cp:revision>
  <dcterms:created xsi:type="dcterms:W3CDTF">2016-11-10T00:29:00Z</dcterms:created>
  <dcterms:modified xsi:type="dcterms:W3CDTF">2016-11-10T00:29:00Z</dcterms:modified>
</cp:coreProperties>
</file>