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A8" w:rsidRPr="00781B68" w:rsidRDefault="00781B68" w:rsidP="0062303C">
      <w:pPr>
        <w:spacing w:line="600" w:lineRule="exact"/>
        <w:jc w:val="center"/>
        <w:rPr>
          <w:rFonts w:eastAsia="方正小标宋简体"/>
          <w:sz w:val="44"/>
          <w:szCs w:val="44"/>
        </w:rPr>
      </w:pPr>
      <w:r w:rsidRPr="00781B68">
        <w:rPr>
          <w:rFonts w:eastAsia="方正小标宋简体" w:hint="eastAsia"/>
          <w:sz w:val="44"/>
          <w:szCs w:val="44"/>
        </w:rPr>
        <w:t>资产管理违背营销约定</w:t>
      </w:r>
    </w:p>
    <w:p w:rsidR="00781B68" w:rsidRPr="00781B68" w:rsidRDefault="00781B68" w:rsidP="0062303C">
      <w:pPr>
        <w:spacing w:line="600" w:lineRule="exact"/>
        <w:jc w:val="center"/>
        <w:rPr>
          <w:rFonts w:eastAsia="方正小标宋简体"/>
          <w:sz w:val="44"/>
          <w:szCs w:val="44"/>
        </w:rPr>
      </w:pPr>
      <w:r w:rsidRPr="00781B68">
        <w:rPr>
          <w:rFonts w:eastAsia="方正小标宋简体" w:hint="eastAsia"/>
          <w:sz w:val="44"/>
          <w:szCs w:val="44"/>
        </w:rPr>
        <w:t>专业调解助力理性维权</w:t>
      </w:r>
    </w:p>
    <w:p w:rsidR="00734242" w:rsidRPr="00FE559C" w:rsidRDefault="00734242" w:rsidP="0062303C">
      <w:pPr>
        <w:spacing w:line="600" w:lineRule="exact"/>
        <w:jc w:val="center"/>
        <w:rPr>
          <w:rFonts w:eastAsia="方正小标宋简体"/>
          <w:sz w:val="22"/>
          <w:szCs w:val="44"/>
        </w:rPr>
      </w:pPr>
    </w:p>
    <w:p w:rsidR="00A854E6" w:rsidRPr="00FE559C" w:rsidRDefault="00A854E6" w:rsidP="0062303C">
      <w:pPr>
        <w:spacing w:line="600" w:lineRule="exact"/>
        <w:jc w:val="center"/>
        <w:rPr>
          <w:rFonts w:eastAsia="方正小标宋简体"/>
          <w:b/>
          <w:sz w:val="32"/>
          <w:szCs w:val="32"/>
        </w:rPr>
      </w:pPr>
    </w:p>
    <w:p w:rsidR="0054482C" w:rsidRPr="0054482C" w:rsidRDefault="0054482C" w:rsidP="00FE559C">
      <w:pPr>
        <w:spacing w:line="600" w:lineRule="exact"/>
        <w:ind w:firstLine="645"/>
        <w:rPr>
          <w:rFonts w:ascii="黑体" w:eastAsia="黑体" w:hAnsi="黑体"/>
          <w:sz w:val="32"/>
          <w:szCs w:val="32"/>
        </w:rPr>
      </w:pPr>
      <w:r w:rsidRPr="0054482C">
        <w:rPr>
          <w:rFonts w:ascii="黑体" w:eastAsia="黑体" w:hAnsi="黑体" w:hint="eastAsia"/>
          <w:sz w:val="32"/>
          <w:szCs w:val="32"/>
        </w:rPr>
        <w:t>一、案情概要</w:t>
      </w:r>
    </w:p>
    <w:p w:rsidR="00235C62" w:rsidRDefault="00FE559C" w:rsidP="00D327EB">
      <w:pPr>
        <w:spacing w:line="600" w:lineRule="exact"/>
        <w:ind w:firstLine="645"/>
        <w:rPr>
          <w:rFonts w:eastAsia="仿宋" w:hAnsi="仿宋"/>
          <w:sz w:val="32"/>
          <w:szCs w:val="32"/>
        </w:rPr>
      </w:pPr>
      <w:r w:rsidRPr="00FE559C">
        <w:rPr>
          <w:rFonts w:eastAsia="仿宋"/>
          <w:sz w:val="32"/>
          <w:szCs w:val="32"/>
        </w:rPr>
        <w:t>2014</w:t>
      </w:r>
      <w:r w:rsidRPr="00FE559C">
        <w:rPr>
          <w:rFonts w:eastAsia="仿宋" w:hAnsi="仿宋"/>
          <w:sz w:val="32"/>
          <w:szCs w:val="32"/>
        </w:rPr>
        <w:t>年</w:t>
      </w:r>
      <w:r w:rsidR="00781B68">
        <w:rPr>
          <w:rFonts w:eastAsia="仿宋" w:hAnsi="仿宋" w:hint="eastAsia"/>
          <w:sz w:val="32"/>
          <w:szCs w:val="32"/>
        </w:rPr>
        <w:t>3</w:t>
      </w:r>
      <w:r w:rsidRPr="00FE559C">
        <w:rPr>
          <w:rFonts w:eastAsia="仿宋" w:hAnsi="仿宋"/>
          <w:sz w:val="32"/>
          <w:szCs w:val="32"/>
        </w:rPr>
        <w:t>月</w:t>
      </w:r>
      <w:r w:rsidR="00781B68">
        <w:rPr>
          <w:rFonts w:eastAsia="仿宋"/>
          <w:sz w:val="32"/>
          <w:szCs w:val="32"/>
        </w:rPr>
        <w:t>2</w:t>
      </w:r>
      <w:r w:rsidR="00781B68">
        <w:rPr>
          <w:rFonts w:eastAsia="仿宋" w:hint="eastAsia"/>
          <w:sz w:val="32"/>
          <w:szCs w:val="32"/>
        </w:rPr>
        <w:t>0</w:t>
      </w:r>
      <w:r w:rsidRPr="00FE559C">
        <w:rPr>
          <w:rFonts w:eastAsia="仿宋" w:hAnsi="仿宋"/>
          <w:sz w:val="32"/>
          <w:szCs w:val="32"/>
        </w:rPr>
        <w:t>日，投资者</w:t>
      </w:r>
      <w:r w:rsidR="00C27C2C">
        <w:rPr>
          <w:rFonts w:eastAsia="仿宋" w:hAnsi="仿宋" w:hint="eastAsia"/>
          <w:sz w:val="32"/>
          <w:szCs w:val="32"/>
        </w:rPr>
        <w:t>王某</w:t>
      </w:r>
      <w:r w:rsidRPr="00FE559C">
        <w:rPr>
          <w:rFonts w:eastAsia="仿宋" w:hAnsi="仿宋"/>
          <w:sz w:val="32"/>
          <w:szCs w:val="32"/>
        </w:rPr>
        <w:t>了解到</w:t>
      </w:r>
      <w:r w:rsidR="00D778FF">
        <w:rPr>
          <w:rFonts w:eastAsia="仿宋" w:hAnsi="仿宋"/>
          <w:sz w:val="32"/>
          <w:szCs w:val="32"/>
        </w:rPr>
        <w:t>某证券公司</w:t>
      </w:r>
      <w:r w:rsidRPr="00FE559C">
        <w:rPr>
          <w:rFonts w:eastAsia="仿宋"/>
          <w:sz w:val="32"/>
          <w:szCs w:val="32"/>
        </w:rPr>
        <w:t>“</w:t>
      </w:r>
      <w:r w:rsidR="001021A6">
        <w:rPr>
          <w:rFonts w:eastAsia="仿宋" w:hAnsi="仿宋" w:hint="eastAsia"/>
          <w:sz w:val="32"/>
          <w:szCs w:val="32"/>
        </w:rPr>
        <w:t>某</w:t>
      </w:r>
      <w:r w:rsidRPr="00FE559C">
        <w:rPr>
          <w:rFonts w:eastAsia="仿宋" w:hAnsi="仿宋"/>
          <w:sz w:val="32"/>
          <w:szCs w:val="32"/>
        </w:rPr>
        <w:t>集合资产管理计划</w:t>
      </w:r>
      <w:r w:rsidRPr="00FE559C">
        <w:rPr>
          <w:rFonts w:eastAsia="仿宋"/>
          <w:sz w:val="32"/>
          <w:szCs w:val="32"/>
        </w:rPr>
        <w:t>”</w:t>
      </w:r>
      <w:r w:rsidRPr="00FE559C">
        <w:rPr>
          <w:rFonts w:eastAsia="仿宋" w:hAnsi="仿宋"/>
          <w:sz w:val="32"/>
          <w:szCs w:val="32"/>
        </w:rPr>
        <w:t>，当时该集合资产管理计划营销宣传时明确表示</w:t>
      </w:r>
      <w:r w:rsidRPr="00FE559C">
        <w:rPr>
          <w:rFonts w:eastAsia="仿宋"/>
          <w:sz w:val="32"/>
          <w:szCs w:val="32"/>
        </w:rPr>
        <w:t>“</w:t>
      </w:r>
      <w:r w:rsidRPr="00FE559C">
        <w:rPr>
          <w:rFonts w:eastAsia="仿宋" w:hAnsi="仿宋"/>
          <w:sz w:val="32"/>
          <w:szCs w:val="32"/>
        </w:rPr>
        <w:t>不直接投资二级市场，利用机构优势申购新股，进出费用全免</w:t>
      </w:r>
      <w:r w:rsidRPr="00FE559C">
        <w:rPr>
          <w:rFonts w:eastAsia="仿宋"/>
          <w:sz w:val="32"/>
          <w:szCs w:val="32"/>
        </w:rPr>
        <w:t>”</w:t>
      </w:r>
      <w:r w:rsidRPr="00FE559C">
        <w:rPr>
          <w:rFonts w:eastAsia="仿宋" w:hAnsi="仿宋"/>
          <w:sz w:val="32"/>
          <w:szCs w:val="32"/>
        </w:rPr>
        <w:t>，</w:t>
      </w:r>
      <w:r w:rsidR="00C27C2C">
        <w:rPr>
          <w:rFonts w:eastAsia="仿宋" w:hAnsi="仿宋" w:hint="eastAsia"/>
          <w:sz w:val="32"/>
          <w:szCs w:val="32"/>
        </w:rPr>
        <w:t>王某</w:t>
      </w:r>
      <w:r w:rsidRPr="00FE559C">
        <w:rPr>
          <w:rFonts w:eastAsia="仿宋"/>
          <w:sz w:val="32"/>
          <w:szCs w:val="32"/>
        </w:rPr>
        <w:t>购买了</w:t>
      </w:r>
      <w:r w:rsidR="00781B68">
        <w:rPr>
          <w:rFonts w:eastAsia="仿宋"/>
          <w:sz w:val="32"/>
          <w:szCs w:val="32"/>
        </w:rPr>
        <w:t>1</w:t>
      </w:r>
      <w:r w:rsidR="00781B68">
        <w:rPr>
          <w:rFonts w:eastAsia="仿宋" w:hint="eastAsia"/>
          <w:sz w:val="32"/>
          <w:szCs w:val="32"/>
        </w:rPr>
        <w:t>20</w:t>
      </w:r>
      <w:r w:rsidRPr="00FE559C">
        <w:rPr>
          <w:rFonts w:eastAsia="仿宋"/>
          <w:sz w:val="32"/>
          <w:szCs w:val="32"/>
        </w:rPr>
        <w:t>万元该产品，</w:t>
      </w:r>
      <w:r w:rsidR="0005662B" w:rsidRPr="00FE559C">
        <w:rPr>
          <w:rFonts w:eastAsia="仿宋"/>
          <w:sz w:val="32"/>
          <w:szCs w:val="32"/>
        </w:rPr>
        <w:t>截至</w:t>
      </w:r>
      <w:r w:rsidR="0005662B" w:rsidRPr="00FE559C">
        <w:rPr>
          <w:rFonts w:eastAsia="仿宋"/>
          <w:sz w:val="32"/>
          <w:szCs w:val="32"/>
        </w:rPr>
        <w:t>2015</w:t>
      </w:r>
      <w:r w:rsidR="0005662B" w:rsidRPr="00FE559C">
        <w:rPr>
          <w:rFonts w:eastAsia="仿宋"/>
          <w:sz w:val="32"/>
          <w:szCs w:val="32"/>
        </w:rPr>
        <w:t>年</w:t>
      </w:r>
      <w:r w:rsidR="00781B68">
        <w:rPr>
          <w:rFonts w:eastAsia="仿宋" w:hint="eastAsia"/>
          <w:sz w:val="32"/>
          <w:szCs w:val="32"/>
        </w:rPr>
        <w:t>8</w:t>
      </w:r>
      <w:r w:rsidR="0005662B" w:rsidRPr="00FE559C">
        <w:rPr>
          <w:rFonts w:eastAsia="仿宋"/>
          <w:sz w:val="32"/>
          <w:szCs w:val="32"/>
        </w:rPr>
        <w:t>月，该产品累积发放红利</w:t>
      </w:r>
      <w:r w:rsidR="00781B68">
        <w:rPr>
          <w:rFonts w:eastAsia="仿宋" w:hint="eastAsia"/>
          <w:sz w:val="32"/>
          <w:szCs w:val="32"/>
        </w:rPr>
        <w:t>82</w:t>
      </w:r>
      <w:r w:rsidR="0005662B" w:rsidRPr="00FE559C">
        <w:rPr>
          <w:rFonts w:eastAsia="仿宋"/>
          <w:sz w:val="32"/>
          <w:szCs w:val="32"/>
        </w:rPr>
        <w:t>万元</w:t>
      </w:r>
      <w:r w:rsidRPr="00FE559C">
        <w:rPr>
          <w:rFonts w:eastAsia="仿宋"/>
          <w:sz w:val="32"/>
          <w:szCs w:val="32"/>
        </w:rPr>
        <w:t>。</w:t>
      </w:r>
      <w:r w:rsidRPr="00FE559C">
        <w:rPr>
          <w:rFonts w:eastAsia="仿宋" w:hAnsi="仿宋"/>
          <w:sz w:val="32"/>
          <w:szCs w:val="32"/>
        </w:rPr>
        <w:t>于是，</w:t>
      </w:r>
      <w:r w:rsidR="00C27C2C">
        <w:rPr>
          <w:rFonts w:eastAsia="仿宋" w:hAnsi="仿宋" w:hint="eastAsia"/>
          <w:sz w:val="32"/>
          <w:szCs w:val="32"/>
        </w:rPr>
        <w:t>王某</w:t>
      </w:r>
      <w:r w:rsidRPr="00FE559C">
        <w:rPr>
          <w:rFonts w:eastAsia="仿宋" w:hAnsi="仿宋"/>
          <w:sz w:val="32"/>
          <w:szCs w:val="32"/>
        </w:rPr>
        <w:t>又</w:t>
      </w:r>
      <w:r w:rsidR="00275CD5">
        <w:rPr>
          <w:rFonts w:eastAsia="仿宋" w:hAnsi="仿宋" w:hint="eastAsia"/>
          <w:sz w:val="32"/>
          <w:szCs w:val="32"/>
        </w:rPr>
        <w:t>陆续</w:t>
      </w:r>
      <w:r w:rsidRPr="00FE559C">
        <w:rPr>
          <w:rFonts w:eastAsia="仿宋" w:hAnsi="仿宋"/>
          <w:sz w:val="32"/>
          <w:szCs w:val="32"/>
        </w:rPr>
        <w:t>追加购买了</w:t>
      </w:r>
      <w:r w:rsidR="00781B68">
        <w:rPr>
          <w:rFonts w:eastAsia="仿宋" w:hint="eastAsia"/>
          <w:sz w:val="32"/>
          <w:szCs w:val="32"/>
        </w:rPr>
        <w:t>3</w:t>
      </w:r>
      <w:r w:rsidRPr="00FE559C">
        <w:rPr>
          <w:rFonts w:eastAsia="仿宋"/>
          <w:sz w:val="32"/>
          <w:szCs w:val="32"/>
        </w:rPr>
        <w:t>10</w:t>
      </w:r>
      <w:r w:rsidRPr="00FE559C">
        <w:rPr>
          <w:rFonts w:eastAsia="仿宋" w:hAnsi="仿宋"/>
          <w:sz w:val="32"/>
          <w:szCs w:val="32"/>
        </w:rPr>
        <w:t>万元产品</w:t>
      </w:r>
      <w:bookmarkStart w:id="0" w:name="_GoBack"/>
      <w:bookmarkEnd w:id="0"/>
      <w:r w:rsidRPr="00FE559C">
        <w:rPr>
          <w:rFonts w:eastAsia="仿宋" w:hAnsi="仿宋"/>
          <w:sz w:val="32"/>
          <w:szCs w:val="32"/>
        </w:rPr>
        <w:t>。</w:t>
      </w:r>
    </w:p>
    <w:p w:rsidR="00FE559C" w:rsidRPr="00D327EB" w:rsidRDefault="00E72B2D" w:rsidP="00D327EB">
      <w:pPr>
        <w:spacing w:line="600" w:lineRule="exact"/>
        <w:ind w:firstLine="645"/>
        <w:rPr>
          <w:rFonts w:eastAsia="仿宋" w:hAnsi="仿宋"/>
          <w:sz w:val="32"/>
          <w:szCs w:val="32"/>
        </w:rPr>
      </w:pPr>
      <w:r>
        <w:rPr>
          <w:rFonts w:eastAsia="仿宋" w:hint="eastAsia"/>
          <w:sz w:val="32"/>
          <w:szCs w:val="32"/>
        </w:rPr>
        <w:t>2014</w:t>
      </w:r>
      <w:r>
        <w:rPr>
          <w:rFonts w:eastAsia="仿宋" w:hint="eastAsia"/>
          <w:sz w:val="32"/>
          <w:szCs w:val="32"/>
        </w:rPr>
        <w:t>年</w:t>
      </w:r>
      <w:r>
        <w:rPr>
          <w:rFonts w:eastAsia="仿宋" w:hint="eastAsia"/>
          <w:sz w:val="32"/>
          <w:szCs w:val="32"/>
        </w:rPr>
        <w:t>5</w:t>
      </w:r>
      <w:r>
        <w:rPr>
          <w:rFonts w:eastAsia="仿宋" w:hint="eastAsia"/>
          <w:sz w:val="32"/>
          <w:szCs w:val="32"/>
        </w:rPr>
        <w:t>月</w:t>
      </w:r>
      <w:r>
        <w:rPr>
          <w:rFonts w:eastAsia="仿宋" w:hint="eastAsia"/>
          <w:sz w:val="32"/>
          <w:szCs w:val="32"/>
        </w:rPr>
        <w:t>9</w:t>
      </w:r>
      <w:r>
        <w:rPr>
          <w:rFonts w:eastAsia="仿宋" w:hint="eastAsia"/>
          <w:sz w:val="32"/>
          <w:szCs w:val="32"/>
        </w:rPr>
        <w:t>日，沪深交易所分别出台了</w:t>
      </w:r>
      <w:r w:rsidRPr="00893B66">
        <w:rPr>
          <w:rFonts w:eastAsia="仿宋" w:hint="eastAsia"/>
          <w:sz w:val="32"/>
          <w:szCs w:val="32"/>
        </w:rPr>
        <w:t>《上海市场首次公开发行股票网上按市值申购实施办法》</w:t>
      </w:r>
      <w:r>
        <w:rPr>
          <w:rFonts w:eastAsia="仿宋" w:hint="eastAsia"/>
          <w:sz w:val="32"/>
          <w:szCs w:val="32"/>
        </w:rPr>
        <w:t>和</w:t>
      </w:r>
      <w:r w:rsidRPr="00893B66">
        <w:rPr>
          <w:rFonts w:eastAsia="仿宋" w:hint="eastAsia"/>
          <w:sz w:val="32"/>
          <w:szCs w:val="32"/>
        </w:rPr>
        <w:t>《深圳市场首次公开发行股票网上按市值申购实施办法》</w:t>
      </w:r>
      <w:r>
        <w:rPr>
          <w:rFonts w:eastAsia="仿宋" w:hint="eastAsia"/>
          <w:sz w:val="32"/>
          <w:szCs w:val="32"/>
        </w:rPr>
        <w:t>，规定</w:t>
      </w:r>
      <w:r w:rsidRPr="00893B66">
        <w:rPr>
          <w:rFonts w:eastAsia="仿宋" w:hint="eastAsia"/>
          <w:sz w:val="32"/>
          <w:szCs w:val="32"/>
        </w:rPr>
        <w:t>采用网上按市值申购方式首次公开发行股票</w:t>
      </w:r>
      <w:r>
        <w:rPr>
          <w:rFonts w:eastAsia="仿宋" w:hint="eastAsia"/>
          <w:sz w:val="32"/>
          <w:szCs w:val="32"/>
        </w:rPr>
        <w:t>，</w:t>
      </w:r>
      <w:r w:rsidRPr="00893B66">
        <w:rPr>
          <w:rFonts w:eastAsia="仿宋" w:hint="eastAsia"/>
          <w:sz w:val="32"/>
          <w:szCs w:val="32"/>
        </w:rPr>
        <w:t>投资者</w:t>
      </w:r>
      <w:r w:rsidR="00D327EB">
        <w:rPr>
          <w:rFonts w:eastAsia="仿宋" w:hint="eastAsia"/>
          <w:sz w:val="32"/>
          <w:szCs w:val="32"/>
        </w:rPr>
        <w:t>需持有一定市值的二级市场股票，才可以根据其持有市值对应的额度网上申购新股。</w:t>
      </w:r>
      <w:r w:rsidR="00FE559C" w:rsidRPr="00FE559C">
        <w:rPr>
          <w:rFonts w:eastAsia="仿宋" w:hAnsi="仿宋"/>
          <w:sz w:val="32"/>
          <w:szCs w:val="32"/>
        </w:rPr>
        <w:t>由于新股认购</w:t>
      </w:r>
      <w:r w:rsidR="00C27C2C">
        <w:rPr>
          <w:rFonts w:eastAsia="仿宋" w:hAnsi="仿宋" w:hint="eastAsia"/>
          <w:sz w:val="32"/>
          <w:szCs w:val="32"/>
        </w:rPr>
        <w:t>规</w:t>
      </w:r>
      <w:r w:rsidR="001F598C">
        <w:rPr>
          <w:rFonts w:eastAsia="仿宋" w:hAnsi="仿宋" w:hint="eastAsia"/>
          <w:sz w:val="32"/>
          <w:szCs w:val="32"/>
        </w:rPr>
        <w:t>定</w:t>
      </w:r>
      <w:r w:rsidR="00C27C2C">
        <w:rPr>
          <w:rFonts w:eastAsia="仿宋" w:hAnsi="仿宋" w:hint="eastAsia"/>
          <w:sz w:val="32"/>
          <w:szCs w:val="32"/>
        </w:rPr>
        <w:t>变更</w:t>
      </w:r>
      <w:r w:rsidR="00FE559C" w:rsidRPr="00FE559C">
        <w:rPr>
          <w:rFonts w:eastAsia="仿宋" w:hAnsi="仿宋"/>
          <w:sz w:val="32"/>
          <w:szCs w:val="32"/>
        </w:rPr>
        <w:t>及二级市场行情波动，</w:t>
      </w:r>
      <w:r w:rsidR="00FE559C" w:rsidRPr="00FE559C">
        <w:rPr>
          <w:rFonts w:eastAsia="仿宋"/>
          <w:sz w:val="32"/>
          <w:szCs w:val="32"/>
        </w:rPr>
        <w:t>2015</w:t>
      </w:r>
      <w:r w:rsidR="00FE559C" w:rsidRPr="00FE559C">
        <w:rPr>
          <w:rFonts w:eastAsia="仿宋" w:hAnsi="仿宋"/>
          <w:sz w:val="32"/>
          <w:szCs w:val="32"/>
        </w:rPr>
        <w:t>年</w:t>
      </w:r>
      <w:r w:rsidR="00275CD5">
        <w:rPr>
          <w:rFonts w:eastAsia="仿宋" w:hint="eastAsia"/>
          <w:sz w:val="32"/>
          <w:szCs w:val="32"/>
        </w:rPr>
        <w:t>11</w:t>
      </w:r>
      <w:r w:rsidR="00FE559C" w:rsidRPr="00FE559C">
        <w:rPr>
          <w:rFonts w:eastAsia="仿宋" w:hAnsi="仿宋"/>
          <w:sz w:val="32"/>
          <w:szCs w:val="32"/>
        </w:rPr>
        <w:t>月，</w:t>
      </w:r>
      <w:r w:rsidR="00781B68">
        <w:rPr>
          <w:rFonts w:eastAsia="仿宋" w:hAnsi="仿宋" w:hint="eastAsia"/>
          <w:sz w:val="32"/>
          <w:szCs w:val="32"/>
        </w:rPr>
        <w:t>王某购买的</w:t>
      </w:r>
      <w:r w:rsidR="00FE559C" w:rsidRPr="00FE559C">
        <w:rPr>
          <w:rFonts w:eastAsia="仿宋" w:hAnsi="仿宋"/>
          <w:sz w:val="32"/>
          <w:szCs w:val="32"/>
        </w:rPr>
        <w:t>基金净值跌至约</w:t>
      </w:r>
      <w:r w:rsidR="00FE559C" w:rsidRPr="00FE559C">
        <w:rPr>
          <w:rFonts w:eastAsia="仿宋"/>
          <w:sz w:val="32"/>
          <w:szCs w:val="32"/>
        </w:rPr>
        <w:t>0.5</w:t>
      </w:r>
      <w:r w:rsidR="00E70296">
        <w:rPr>
          <w:rFonts w:eastAsia="仿宋" w:hAnsi="仿宋"/>
          <w:sz w:val="32"/>
          <w:szCs w:val="32"/>
        </w:rPr>
        <w:t>元</w:t>
      </w:r>
      <w:r w:rsidR="00E70296">
        <w:rPr>
          <w:rFonts w:eastAsia="仿宋" w:hAnsi="仿宋" w:hint="eastAsia"/>
          <w:sz w:val="32"/>
          <w:szCs w:val="32"/>
        </w:rPr>
        <w:t>。</w:t>
      </w:r>
      <w:r w:rsidR="00D778FF">
        <w:rPr>
          <w:rFonts w:eastAsia="仿宋" w:hAnsi="仿宋"/>
          <w:sz w:val="32"/>
          <w:szCs w:val="32"/>
        </w:rPr>
        <w:t>投资者</w:t>
      </w:r>
      <w:r w:rsidR="00FE559C" w:rsidRPr="00FE559C">
        <w:rPr>
          <w:rFonts w:eastAsia="仿宋" w:hAnsi="仿宋"/>
          <w:sz w:val="32"/>
          <w:szCs w:val="32"/>
        </w:rPr>
        <w:t>下载了产品管理报告，发现</w:t>
      </w:r>
      <w:r w:rsidR="00FE559C" w:rsidRPr="00FE559C">
        <w:rPr>
          <w:rFonts w:eastAsia="仿宋"/>
          <w:sz w:val="32"/>
          <w:szCs w:val="32"/>
        </w:rPr>
        <w:t>2015</w:t>
      </w:r>
      <w:r w:rsidR="00FE559C" w:rsidRPr="00FE559C">
        <w:rPr>
          <w:rFonts w:eastAsia="仿宋" w:hAnsi="仿宋"/>
          <w:sz w:val="32"/>
          <w:szCs w:val="32"/>
        </w:rPr>
        <w:t>年一季度通过二级市场配置的股票资产占比高达</w:t>
      </w:r>
      <w:r w:rsidR="00FE559C" w:rsidRPr="00FE559C">
        <w:rPr>
          <w:rFonts w:eastAsia="仿宋"/>
          <w:sz w:val="32"/>
          <w:szCs w:val="32"/>
        </w:rPr>
        <w:t>63</w:t>
      </w:r>
      <w:r w:rsidR="00FE559C" w:rsidRPr="00FE559C">
        <w:rPr>
          <w:rFonts w:eastAsia="仿宋" w:hAnsi="仿宋"/>
          <w:sz w:val="32"/>
          <w:szCs w:val="32"/>
        </w:rPr>
        <w:t>％。</w:t>
      </w:r>
      <w:r w:rsidR="00D327EB">
        <w:rPr>
          <w:rFonts w:eastAsia="仿宋" w:hAnsi="仿宋" w:hint="eastAsia"/>
          <w:sz w:val="32"/>
          <w:szCs w:val="32"/>
        </w:rPr>
        <w:t>王某认为</w:t>
      </w:r>
      <w:r w:rsidR="00FE559C" w:rsidRPr="00FE559C">
        <w:rPr>
          <w:rFonts w:eastAsia="仿宋" w:hAnsi="仿宋"/>
          <w:sz w:val="32"/>
          <w:szCs w:val="32"/>
        </w:rPr>
        <w:t>管理人</w:t>
      </w:r>
      <w:r w:rsidR="00D778FF">
        <w:rPr>
          <w:rFonts w:eastAsia="仿宋" w:hAnsi="仿宋"/>
          <w:sz w:val="32"/>
          <w:szCs w:val="32"/>
        </w:rPr>
        <w:t>某证券公司</w:t>
      </w:r>
      <w:r w:rsidR="00FE559C" w:rsidRPr="00FE559C">
        <w:rPr>
          <w:rFonts w:eastAsia="仿宋" w:hAnsi="仿宋"/>
          <w:sz w:val="32"/>
          <w:szCs w:val="32"/>
        </w:rPr>
        <w:t>在持有人不知情的情况下自行决定增大二级市场投资，并严重违背营销宣传时</w:t>
      </w:r>
      <w:r w:rsidR="00FE559C" w:rsidRPr="00FE559C">
        <w:rPr>
          <w:rFonts w:eastAsia="仿宋"/>
          <w:sz w:val="32"/>
          <w:szCs w:val="32"/>
        </w:rPr>
        <w:t>“</w:t>
      </w:r>
      <w:r w:rsidR="00FE559C" w:rsidRPr="00FE559C">
        <w:rPr>
          <w:rFonts w:eastAsia="仿宋" w:hAnsi="仿宋"/>
          <w:sz w:val="32"/>
          <w:szCs w:val="32"/>
        </w:rPr>
        <w:t>不直接投资二级市场</w:t>
      </w:r>
      <w:r w:rsidR="00FE559C" w:rsidRPr="00FE559C">
        <w:rPr>
          <w:rFonts w:eastAsia="仿宋"/>
          <w:sz w:val="32"/>
          <w:szCs w:val="32"/>
        </w:rPr>
        <w:t>”</w:t>
      </w:r>
      <w:r w:rsidR="00FE559C" w:rsidRPr="00FE559C">
        <w:rPr>
          <w:rFonts w:eastAsia="仿宋" w:hAnsi="仿宋"/>
          <w:sz w:val="32"/>
          <w:szCs w:val="32"/>
        </w:rPr>
        <w:t>的承诺。</w:t>
      </w:r>
      <w:r w:rsidR="00C27C2C">
        <w:rPr>
          <w:rFonts w:eastAsia="仿宋" w:hAnsi="仿宋" w:hint="eastAsia"/>
          <w:sz w:val="32"/>
          <w:szCs w:val="32"/>
        </w:rPr>
        <w:t>王某</w:t>
      </w:r>
      <w:r w:rsidR="00FE559C" w:rsidRPr="00FE559C">
        <w:rPr>
          <w:rFonts w:eastAsia="仿宋"/>
          <w:sz w:val="32"/>
          <w:szCs w:val="32"/>
        </w:rPr>
        <w:t>认为对方存在误导性宣传，导致其购买的</w:t>
      </w:r>
      <w:r w:rsidR="00781B68">
        <w:rPr>
          <w:rFonts w:eastAsia="仿宋" w:hint="eastAsia"/>
          <w:sz w:val="32"/>
          <w:szCs w:val="32"/>
        </w:rPr>
        <w:t>430</w:t>
      </w:r>
      <w:r w:rsidR="00FE559C" w:rsidRPr="00FE559C">
        <w:rPr>
          <w:rFonts w:eastAsia="仿宋"/>
          <w:sz w:val="32"/>
          <w:szCs w:val="32"/>
        </w:rPr>
        <w:t>万元该资产管理计划产品遭</w:t>
      </w:r>
      <w:r w:rsidR="00FE559C" w:rsidRPr="00FE559C">
        <w:rPr>
          <w:rFonts w:eastAsia="仿宋"/>
          <w:sz w:val="32"/>
          <w:szCs w:val="32"/>
        </w:rPr>
        <w:lastRenderedPageBreak/>
        <w:t>受损失，并主张</w:t>
      </w:r>
      <w:r w:rsidR="001E1B18">
        <w:rPr>
          <w:rFonts w:eastAsia="仿宋" w:hint="eastAsia"/>
          <w:sz w:val="32"/>
          <w:szCs w:val="32"/>
        </w:rPr>
        <w:t>造成的</w:t>
      </w:r>
      <w:r w:rsidR="001E1B18">
        <w:rPr>
          <w:rFonts w:eastAsia="仿宋" w:hint="eastAsia"/>
          <w:sz w:val="32"/>
          <w:szCs w:val="32"/>
        </w:rPr>
        <w:t>246</w:t>
      </w:r>
      <w:r w:rsidR="00FE559C" w:rsidRPr="00FE559C">
        <w:rPr>
          <w:rFonts w:eastAsia="仿宋"/>
          <w:sz w:val="32"/>
          <w:szCs w:val="32"/>
        </w:rPr>
        <w:t>万元</w:t>
      </w:r>
      <w:r w:rsidR="001E1B18">
        <w:rPr>
          <w:rFonts w:eastAsia="仿宋" w:hint="eastAsia"/>
          <w:sz w:val="32"/>
          <w:szCs w:val="32"/>
        </w:rPr>
        <w:t>损失的</w:t>
      </w:r>
      <w:r w:rsidR="00FE559C" w:rsidRPr="00FE559C">
        <w:rPr>
          <w:rFonts w:eastAsia="仿宋"/>
          <w:sz w:val="32"/>
          <w:szCs w:val="32"/>
        </w:rPr>
        <w:t>赔偿。</w:t>
      </w:r>
    </w:p>
    <w:p w:rsidR="00C27C2C" w:rsidRDefault="00C27C2C" w:rsidP="00FE559C">
      <w:pPr>
        <w:spacing w:line="600" w:lineRule="exact"/>
        <w:ind w:firstLine="645"/>
        <w:rPr>
          <w:rFonts w:eastAsia="仿宋"/>
          <w:sz w:val="32"/>
          <w:szCs w:val="32"/>
        </w:rPr>
      </w:pPr>
      <w:r>
        <w:rPr>
          <w:rFonts w:ascii="黑体" w:eastAsia="黑体" w:hAnsi="黑体" w:hint="eastAsia"/>
          <w:sz w:val="32"/>
          <w:szCs w:val="32"/>
        </w:rPr>
        <w:t>二</w:t>
      </w:r>
      <w:r w:rsidRPr="0054482C">
        <w:rPr>
          <w:rFonts w:ascii="黑体" w:eastAsia="黑体" w:hAnsi="黑体" w:hint="eastAsia"/>
          <w:sz w:val="32"/>
          <w:szCs w:val="32"/>
        </w:rPr>
        <w:t>、</w:t>
      </w:r>
      <w:r>
        <w:rPr>
          <w:rFonts w:ascii="黑体" w:eastAsia="黑体" w:hAnsi="黑体" w:hint="eastAsia"/>
          <w:sz w:val="32"/>
          <w:szCs w:val="32"/>
        </w:rPr>
        <w:t>争议焦点</w:t>
      </w:r>
    </w:p>
    <w:p w:rsidR="00C27C2C" w:rsidRDefault="00781B68" w:rsidP="001F598C">
      <w:pPr>
        <w:spacing w:line="600" w:lineRule="exact"/>
        <w:ind w:firstLine="645"/>
        <w:rPr>
          <w:rFonts w:eastAsia="仿宋"/>
          <w:sz w:val="32"/>
          <w:szCs w:val="32"/>
        </w:rPr>
      </w:pPr>
      <w:r>
        <w:rPr>
          <w:rFonts w:eastAsia="仿宋" w:hint="eastAsia"/>
          <w:sz w:val="32"/>
          <w:szCs w:val="32"/>
        </w:rPr>
        <w:t>经过投服中心专家调解，证券公司承认</w:t>
      </w:r>
      <w:r w:rsidR="003F1EBF">
        <w:rPr>
          <w:rFonts w:eastAsia="仿宋" w:hint="eastAsia"/>
          <w:sz w:val="32"/>
          <w:szCs w:val="32"/>
        </w:rPr>
        <w:t>其理财操作违反了合同约定，但提出投资者在合同履行中事实上已经知晓该产品已经投资于二级市场，但仍然追加投资，所以投资者也存在过错。具体到赔偿金额上，</w:t>
      </w:r>
      <w:r w:rsidR="00D327EB" w:rsidRPr="00FE559C">
        <w:rPr>
          <w:rFonts w:eastAsia="仿宋"/>
          <w:sz w:val="32"/>
          <w:szCs w:val="32"/>
        </w:rPr>
        <w:t>双方争议焦点</w:t>
      </w:r>
      <w:r w:rsidR="00D327EB">
        <w:rPr>
          <w:rFonts w:eastAsia="仿宋" w:hint="eastAsia"/>
          <w:sz w:val="32"/>
          <w:szCs w:val="32"/>
        </w:rPr>
        <w:t>主要</w:t>
      </w:r>
      <w:r w:rsidR="00D327EB" w:rsidRPr="00FE559C">
        <w:rPr>
          <w:rFonts w:eastAsia="仿宋"/>
          <w:sz w:val="32"/>
          <w:szCs w:val="32"/>
        </w:rPr>
        <w:t>在于</w:t>
      </w:r>
      <w:r w:rsidR="003F1EBF">
        <w:rPr>
          <w:rFonts w:eastAsia="仿宋" w:hint="eastAsia"/>
          <w:sz w:val="32"/>
          <w:szCs w:val="32"/>
        </w:rPr>
        <w:t>8</w:t>
      </w:r>
      <w:r w:rsidR="00D327EB">
        <w:rPr>
          <w:rFonts w:eastAsia="仿宋" w:hint="eastAsia"/>
          <w:sz w:val="32"/>
          <w:szCs w:val="32"/>
        </w:rPr>
        <w:t>2</w:t>
      </w:r>
      <w:r w:rsidR="00D327EB">
        <w:rPr>
          <w:rFonts w:eastAsia="仿宋" w:hint="eastAsia"/>
          <w:sz w:val="32"/>
          <w:szCs w:val="32"/>
        </w:rPr>
        <w:t>万元的</w:t>
      </w:r>
      <w:r w:rsidR="003F1EBF">
        <w:rPr>
          <w:rFonts w:eastAsia="仿宋"/>
          <w:sz w:val="32"/>
          <w:szCs w:val="32"/>
        </w:rPr>
        <w:t>投资收益的归属权以及损害赔偿</w:t>
      </w:r>
      <w:r w:rsidR="00D327EB" w:rsidRPr="00FE559C">
        <w:rPr>
          <w:rFonts w:eastAsia="仿宋"/>
          <w:sz w:val="32"/>
          <w:szCs w:val="32"/>
        </w:rPr>
        <w:t>是否应当合并计算</w:t>
      </w:r>
      <w:r w:rsidR="00D327EB">
        <w:rPr>
          <w:rFonts w:eastAsia="仿宋" w:hint="eastAsia"/>
          <w:sz w:val="32"/>
          <w:szCs w:val="32"/>
        </w:rPr>
        <w:t>问题。王某认为，</w:t>
      </w:r>
      <w:r w:rsidR="003F1EBF">
        <w:rPr>
          <w:rFonts w:eastAsia="仿宋" w:hint="eastAsia"/>
          <w:sz w:val="32"/>
          <w:szCs w:val="32"/>
        </w:rPr>
        <w:t>8</w:t>
      </w:r>
      <w:r w:rsidR="00D327EB" w:rsidRPr="00FE559C">
        <w:rPr>
          <w:rFonts w:eastAsia="仿宋"/>
          <w:sz w:val="32"/>
          <w:szCs w:val="32"/>
        </w:rPr>
        <w:t>2</w:t>
      </w:r>
      <w:r w:rsidR="00D327EB" w:rsidRPr="00FE559C">
        <w:rPr>
          <w:rFonts w:eastAsia="仿宋"/>
          <w:sz w:val="32"/>
          <w:szCs w:val="32"/>
        </w:rPr>
        <w:t>万元</w:t>
      </w:r>
      <w:r w:rsidR="00D327EB">
        <w:rPr>
          <w:rFonts w:eastAsia="仿宋" w:hint="eastAsia"/>
          <w:sz w:val="32"/>
          <w:szCs w:val="32"/>
        </w:rPr>
        <w:t>红利是自己应得的投资收益，在计算证券公司给自己造成的损失数额时应予以剔除。但某证券公司坚持</w:t>
      </w:r>
      <w:r w:rsidR="001F598C">
        <w:rPr>
          <w:rFonts w:eastAsia="仿宋" w:hint="eastAsia"/>
          <w:sz w:val="32"/>
          <w:szCs w:val="32"/>
        </w:rPr>
        <w:t>，</w:t>
      </w:r>
      <w:r w:rsidR="00D327EB">
        <w:rPr>
          <w:rFonts w:eastAsia="仿宋" w:hint="eastAsia"/>
          <w:sz w:val="32"/>
          <w:szCs w:val="32"/>
        </w:rPr>
        <w:t>在计算损失时应当将</w:t>
      </w:r>
      <w:r w:rsidR="001E1B18">
        <w:rPr>
          <w:rFonts w:eastAsia="仿宋" w:hint="eastAsia"/>
          <w:sz w:val="32"/>
          <w:szCs w:val="32"/>
        </w:rPr>
        <w:t>8</w:t>
      </w:r>
      <w:r w:rsidR="00D327EB">
        <w:rPr>
          <w:rFonts w:eastAsia="仿宋" w:hint="eastAsia"/>
          <w:sz w:val="32"/>
          <w:szCs w:val="32"/>
        </w:rPr>
        <w:t>2</w:t>
      </w:r>
      <w:r w:rsidR="001F598C">
        <w:rPr>
          <w:rFonts w:eastAsia="仿宋" w:hint="eastAsia"/>
          <w:sz w:val="32"/>
          <w:szCs w:val="32"/>
        </w:rPr>
        <w:t>万元红利合并计算，</w:t>
      </w:r>
      <w:r w:rsidR="001E1B18">
        <w:rPr>
          <w:rFonts w:eastAsia="仿宋" w:hint="eastAsia"/>
          <w:sz w:val="32"/>
          <w:szCs w:val="32"/>
        </w:rPr>
        <w:t>也即就投资者主张的</w:t>
      </w:r>
      <w:r w:rsidR="001E1B18">
        <w:rPr>
          <w:rFonts w:eastAsia="仿宋" w:hint="eastAsia"/>
          <w:sz w:val="32"/>
          <w:szCs w:val="32"/>
        </w:rPr>
        <w:t>246</w:t>
      </w:r>
      <w:r w:rsidR="001E1B18">
        <w:rPr>
          <w:rFonts w:eastAsia="仿宋" w:hint="eastAsia"/>
          <w:sz w:val="32"/>
          <w:szCs w:val="32"/>
        </w:rPr>
        <w:t>万元剔除</w:t>
      </w:r>
      <w:r w:rsidR="001E1B18">
        <w:rPr>
          <w:rFonts w:eastAsia="仿宋" w:hint="eastAsia"/>
          <w:sz w:val="32"/>
          <w:szCs w:val="32"/>
        </w:rPr>
        <w:t>82</w:t>
      </w:r>
      <w:r w:rsidR="001E1B18">
        <w:rPr>
          <w:rFonts w:eastAsia="仿宋" w:hint="eastAsia"/>
          <w:sz w:val="32"/>
          <w:szCs w:val="32"/>
        </w:rPr>
        <w:t>万元后由</w:t>
      </w:r>
      <w:r w:rsidR="001F598C">
        <w:rPr>
          <w:rFonts w:eastAsia="仿宋" w:hint="eastAsia"/>
          <w:sz w:val="32"/>
          <w:szCs w:val="32"/>
        </w:rPr>
        <w:t>证券公司承担约</w:t>
      </w:r>
      <w:r w:rsidR="001F598C">
        <w:rPr>
          <w:rFonts w:eastAsia="仿宋" w:hint="eastAsia"/>
          <w:sz w:val="32"/>
          <w:szCs w:val="32"/>
        </w:rPr>
        <w:t>70</w:t>
      </w:r>
      <w:r w:rsidR="001F598C">
        <w:rPr>
          <w:rFonts w:eastAsia="仿宋" w:hint="eastAsia"/>
          <w:sz w:val="32"/>
          <w:szCs w:val="32"/>
        </w:rPr>
        <w:t>％的过错责任，由此得出赔偿数额约等于</w:t>
      </w:r>
      <w:r w:rsidR="001E1B18">
        <w:rPr>
          <w:rFonts w:eastAsia="仿宋" w:hint="eastAsia"/>
          <w:sz w:val="32"/>
          <w:szCs w:val="32"/>
        </w:rPr>
        <w:t>114</w:t>
      </w:r>
      <w:r w:rsidR="001F598C">
        <w:rPr>
          <w:rFonts w:eastAsia="仿宋" w:hint="eastAsia"/>
          <w:sz w:val="32"/>
          <w:szCs w:val="32"/>
        </w:rPr>
        <w:t>万元。</w:t>
      </w:r>
    </w:p>
    <w:p w:rsidR="0054482C" w:rsidRPr="00FE559C" w:rsidRDefault="00C27C2C" w:rsidP="00FE559C">
      <w:pPr>
        <w:spacing w:line="600" w:lineRule="exact"/>
        <w:ind w:firstLine="645"/>
        <w:rPr>
          <w:rFonts w:eastAsia="仿宋"/>
          <w:sz w:val="32"/>
          <w:szCs w:val="32"/>
        </w:rPr>
      </w:pPr>
      <w:r>
        <w:rPr>
          <w:rFonts w:ascii="黑体" w:eastAsia="黑体" w:hAnsi="黑体" w:hint="eastAsia"/>
          <w:sz w:val="32"/>
          <w:szCs w:val="32"/>
        </w:rPr>
        <w:t>三</w:t>
      </w:r>
      <w:r w:rsidR="0054482C" w:rsidRPr="0054482C">
        <w:rPr>
          <w:rFonts w:ascii="黑体" w:eastAsia="黑体" w:hAnsi="黑体" w:hint="eastAsia"/>
          <w:sz w:val="32"/>
          <w:szCs w:val="32"/>
        </w:rPr>
        <w:t>、</w:t>
      </w:r>
      <w:r w:rsidR="0054482C">
        <w:rPr>
          <w:rFonts w:ascii="黑体" w:eastAsia="黑体" w:hAnsi="黑体" w:hint="eastAsia"/>
          <w:sz w:val="32"/>
          <w:szCs w:val="32"/>
        </w:rPr>
        <w:t>调解过程</w:t>
      </w:r>
    </w:p>
    <w:p w:rsidR="001F598C" w:rsidRDefault="00A854E6" w:rsidP="00235C62">
      <w:pPr>
        <w:spacing w:line="600" w:lineRule="exact"/>
        <w:ind w:firstLine="645"/>
        <w:rPr>
          <w:rFonts w:eastAsia="仿宋"/>
          <w:sz w:val="32"/>
          <w:szCs w:val="32"/>
        </w:rPr>
      </w:pPr>
      <w:r w:rsidRPr="00FE559C">
        <w:rPr>
          <w:rFonts w:eastAsia="仿宋"/>
          <w:sz w:val="32"/>
          <w:szCs w:val="32"/>
        </w:rPr>
        <w:t>调解员在对纠纷双方开展调解工作之前，对双方争议点进行了系统的法律分析，在具体损失数额的计算方</w:t>
      </w:r>
      <w:r w:rsidR="00235C62">
        <w:rPr>
          <w:rFonts w:eastAsia="仿宋"/>
          <w:sz w:val="32"/>
          <w:szCs w:val="32"/>
        </w:rPr>
        <w:t>法上借鉴了最高院发布的审判指导意见，引用了损益相抵原则</w:t>
      </w:r>
      <w:r w:rsidR="00275CD5">
        <w:rPr>
          <w:rFonts w:eastAsia="仿宋"/>
          <w:sz w:val="32"/>
          <w:szCs w:val="32"/>
        </w:rPr>
        <w:t>，</w:t>
      </w:r>
      <w:r w:rsidR="00275CD5">
        <w:rPr>
          <w:rFonts w:eastAsia="仿宋" w:hint="eastAsia"/>
          <w:sz w:val="32"/>
          <w:szCs w:val="32"/>
        </w:rPr>
        <w:t>当</w:t>
      </w:r>
      <w:r w:rsidRPr="00FE559C">
        <w:rPr>
          <w:rFonts w:eastAsia="仿宋"/>
          <w:sz w:val="32"/>
          <w:szCs w:val="32"/>
        </w:rPr>
        <w:t>受害人所遭受的损害和所获得的利益是基于对方</w:t>
      </w:r>
      <w:r w:rsidR="00275CD5">
        <w:rPr>
          <w:rFonts w:eastAsia="仿宋" w:hint="eastAsia"/>
          <w:sz w:val="32"/>
          <w:szCs w:val="32"/>
        </w:rPr>
        <w:t>同一</w:t>
      </w:r>
      <w:hyperlink r:id="rId6" w:tgtFrame="_blank" w:history="1">
        <w:r w:rsidRPr="00FE559C">
          <w:rPr>
            <w:rFonts w:eastAsia="仿宋"/>
            <w:sz w:val="32"/>
            <w:szCs w:val="32"/>
          </w:rPr>
          <w:t>违约行为</w:t>
        </w:r>
      </w:hyperlink>
      <w:r w:rsidR="00235C62">
        <w:rPr>
          <w:rFonts w:eastAsia="仿宋"/>
          <w:sz w:val="32"/>
          <w:szCs w:val="32"/>
        </w:rPr>
        <w:t>而发生，即违约</w:t>
      </w:r>
      <w:r w:rsidR="00235C62">
        <w:rPr>
          <w:rFonts w:eastAsia="仿宋" w:hint="eastAsia"/>
          <w:sz w:val="32"/>
          <w:szCs w:val="32"/>
        </w:rPr>
        <w:t>既</w:t>
      </w:r>
      <w:r w:rsidRPr="00FE559C">
        <w:rPr>
          <w:rFonts w:eastAsia="仿宋"/>
          <w:sz w:val="32"/>
          <w:szCs w:val="32"/>
        </w:rPr>
        <w:t>使受害人遭受了损害，又使受害人获得了利益时，法院应责令违约方赔偿受害人全部损害与受害人所得利益的差额。</w:t>
      </w:r>
      <w:r w:rsidR="00275CD5">
        <w:rPr>
          <w:rFonts w:eastAsia="仿宋" w:hint="eastAsia"/>
          <w:sz w:val="32"/>
          <w:szCs w:val="32"/>
        </w:rPr>
        <w:t>调解员</w:t>
      </w:r>
      <w:r w:rsidR="00235C62">
        <w:rPr>
          <w:rFonts w:eastAsia="仿宋" w:hint="eastAsia"/>
          <w:sz w:val="32"/>
          <w:szCs w:val="32"/>
        </w:rPr>
        <w:t>通过引用</w:t>
      </w:r>
      <w:r w:rsidR="00E70296">
        <w:rPr>
          <w:rFonts w:eastAsia="仿宋" w:hint="eastAsia"/>
          <w:sz w:val="32"/>
          <w:szCs w:val="32"/>
        </w:rPr>
        <w:t>类似</w:t>
      </w:r>
      <w:r w:rsidR="00235C62">
        <w:rPr>
          <w:rFonts w:eastAsia="仿宋" w:hint="eastAsia"/>
          <w:sz w:val="32"/>
          <w:szCs w:val="32"/>
        </w:rPr>
        <w:t>法院司法判例为投资者提供了专业的咨询讲解</w:t>
      </w:r>
      <w:r w:rsidRPr="00FE559C">
        <w:rPr>
          <w:rFonts w:eastAsia="仿宋"/>
          <w:sz w:val="32"/>
          <w:szCs w:val="32"/>
        </w:rPr>
        <w:t>，</w:t>
      </w:r>
      <w:r w:rsidR="00235C62">
        <w:rPr>
          <w:rFonts w:eastAsia="仿宋"/>
          <w:sz w:val="32"/>
          <w:szCs w:val="32"/>
        </w:rPr>
        <w:t>投资者在听完调解员的讲解后，表示</w:t>
      </w:r>
      <w:r w:rsidR="00235C62">
        <w:rPr>
          <w:rFonts w:eastAsia="仿宋" w:hint="eastAsia"/>
          <w:sz w:val="32"/>
          <w:szCs w:val="32"/>
        </w:rPr>
        <w:t>同意扣除</w:t>
      </w:r>
      <w:r w:rsidR="00235C62">
        <w:rPr>
          <w:rFonts w:eastAsia="仿宋" w:hint="eastAsia"/>
          <w:sz w:val="32"/>
          <w:szCs w:val="32"/>
        </w:rPr>
        <w:t>82</w:t>
      </w:r>
      <w:r w:rsidR="00235C62">
        <w:rPr>
          <w:rFonts w:eastAsia="仿宋" w:hint="eastAsia"/>
          <w:sz w:val="32"/>
          <w:szCs w:val="32"/>
        </w:rPr>
        <w:t>万元，最终</w:t>
      </w:r>
      <w:r w:rsidR="00235C62" w:rsidRPr="00FE559C">
        <w:rPr>
          <w:rFonts w:eastAsia="仿宋"/>
          <w:sz w:val="32"/>
          <w:szCs w:val="32"/>
        </w:rPr>
        <w:t>双方在中心达成调解协议，</w:t>
      </w:r>
      <w:r w:rsidR="00235C62">
        <w:rPr>
          <w:rFonts w:eastAsia="仿宋" w:hint="eastAsia"/>
          <w:sz w:val="32"/>
          <w:szCs w:val="32"/>
        </w:rPr>
        <w:t>投资者接受了</w:t>
      </w:r>
      <w:r w:rsidR="00235C62" w:rsidRPr="00FE559C">
        <w:rPr>
          <w:rFonts w:eastAsia="仿宋"/>
          <w:sz w:val="32"/>
          <w:szCs w:val="32"/>
        </w:rPr>
        <w:t>11</w:t>
      </w:r>
      <w:r w:rsidR="00235C62">
        <w:rPr>
          <w:rFonts w:eastAsia="仿宋" w:hint="eastAsia"/>
          <w:sz w:val="32"/>
          <w:szCs w:val="32"/>
        </w:rPr>
        <w:t>4</w:t>
      </w:r>
      <w:r w:rsidR="00235C62">
        <w:rPr>
          <w:rFonts w:eastAsia="仿宋"/>
          <w:sz w:val="32"/>
          <w:szCs w:val="32"/>
        </w:rPr>
        <w:t>万元的赔偿</w:t>
      </w:r>
      <w:r w:rsidR="00235C62">
        <w:rPr>
          <w:rFonts w:eastAsia="仿宋" w:hint="eastAsia"/>
          <w:sz w:val="32"/>
          <w:szCs w:val="32"/>
        </w:rPr>
        <w:t>，证券公司</w:t>
      </w:r>
      <w:r w:rsidR="001F598C" w:rsidRPr="00FE559C">
        <w:rPr>
          <w:rFonts w:eastAsia="仿宋"/>
          <w:sz w:val="32"/>
          <w:szCs w:val="32"/>
        </w:rPr>
        <w:t>并赔礼道歉。</w:t>
      </w:r>
      <w:r w:rsidR="001657B3">
        <w:rPr>
          <w:rFonts w:eastAsia="仿宋" w:hint="eastAsia"/>
          <w:sz w:val="32"/>
          <w:szCs w:val="32"/>
        </w:rPr>
        <w:t>仅仅历</w:t>
      </w:r>
      <w:r w:rsidR="001657B3">
        <w:rPr>
          <w:rFonts w:eastAsia="仿宋" w:hint="eastAsia"/>
          <w:sz w:val="32"/>
          <w:szCs w:val="32"/>
        </w:rPr>
        <w:lastRenderedPageBreak/>
        <w:t>时一周</w:t>
      </w:r>
      <w:r w:rsidR="00275CD5">
        <w:rPr>
          <w:rFonts w:eastAsia="仿宋" w:hint="eastAsia"/>
          <w:sz w:val="32"/>
          <w:szCs w:val="32"/>
        </w:rPr>
        <w:t>多</w:t>
      </w:r>
      <w:r w:rsidR="001657B3">
        <w:rPr>
          <w:rFonts w:eastAsia="仿宋" w:hint="eastAsia"/>
          <w:sz w:val="32"/>
          <w:szCs w:val="32"/>
        </w:rPr>
        <w:t>的时间，</w:t>
      </w:r>
      <w:r w:rsidR="00235C62">
        <w:rPr>
          <w:rFonts w:eastAsia="仿宋"/>
          <w:sz w:val="32"/>
          <w:szCs w:val="32"/>
        </w:rPr>
        <w:t>双方纠纷</w:t>
      </w:r>
      <w:r w:rsidR="001F598C" w:rsidRPr="00FE559C">
        <w:rPr>
          <w:rFonts w:eastAsia="仿宋"/>
          <w:sz w:val="32"/>
          <w:szCs w:val="32"/>
        </w:rPr>
        <w:t>得到有效化解。</w:t>
      </w:r>
    </w:p>
    <w:p w:rsidR="00C70E36" w:rsidRPr="00FE559C" w:rsidRDefault="00C27C2C" w:rsidP="00C70E36">
      <w:pPr>
        <w:spacing w:line="600" w:lineRule="exact"/>
        <w:ind w:firstLine="645"/>
        <w:rPr>
          <w:rFonts w:eastAsia="仿宋"/>
          <w:sz w:val="32"/>
          <w:szCs w:val="32"/>
        </w:rPr>
      </w:pPr>
      <w:r>
        <w:rPr>
          <w:rFonts w:ascii="黑体" w:eastAsia="黑体" w:hAnsi="黑体" w:hint="eastAsia"/>
          <w:sz w:val="32"/>
          <w:szCs w:val="32"/>
        </w:rPr>
        <w:t>四</w:t>
      </w:r>
      <w:r w:rsidR="00C70E36" w:rsidRPr="0054482C">
        <w:rPr>
          <w:rFonts w:ascii="黑体" w:eastAsia="黑体" w:hAnsi="黑体" w:hint="eastAsia"/>
          <w:sz w:val="32"/>
          <w:szCs w:val="32"/>
        </w:rPr>
        <w:t>、</w:t>
      </w:r>
      <w:r w:rsidR="00C70E36">
        <w:rPr>
          <w:rFonts w:ascii="黑体" w:eastAsia="黑体" w:hAnsi="黑体" w:hint="eastAsia"/>
          <w:sz w:val="32"/>
          <w:szCs w:val="32"/>
        </w:rPr>
        <w:t>案件点评</w:t>
      </w:r>
    </w:p>
    <w:p w:rsidR="001657B3" w:rsidRDefault="004C0C88" w:rsidP="0062303C">
      <w:pPr>
        <w:spacing w:line="600" w:lineRule="exact"/>
        <w:ind w:firstLine="645"/>
        <w:rPr>
          <w:rFonts w:eastAsia="仿宋"/>
          <w:sz w:val="32"/>
          <w:szCs w:val="32"/>
        </w:rPr>
      </w:pPr>
      <w:r>
        <w:rPr>
          <w:rFonts w:eastAsia="仿宋" w:hint="eastAsia"/>
          <w:sz w:val="32"/>
          <w:szCs w:val="32"/>
        </w:rPr>
        <w:t>1</w:t>
      </w:r>
      <w:r>
        <w:rPr>
          <w:rFonts w:eastAsia="仿宋" w:hint="eastAsia"/>
          <w:sz w:val="32"/>
          <w:szCs w:val="32"/>
        </w:rPr>
        <w:t>、证券期货经营机构</w:t>
      </w:r>
      <w:r w:rsidR="003F1EBF">
        <w:rPr>
          <w:rFonts w:eastAsia="仿宋" w:hint="eastAsia"/>
          <w:sz w:val="32"/>
          <w:szCs w:val="32"/>
        </w:rPr>
        <w:t>在资产管理业务中</w:t>
      </w:r>
      <w:r w:rsidR="001E1B18">
        <w:rPr>
          <w:rFonts w:eastAsia="仿宋" w:hint="eastAsia"/>
          <w:sz w:val="32"/>
          <w:szCs w:val="32"/>
        </w:rPr>
        <w:t>擅自超出约定的投资范围</w:t>
      </w:r>
      <w:r w:rsidR="00E70296">
        <w:rPr>
          <w:rFonts w:eastAsia="仿宋" w:hint="eastAsia"/>
          <w:sz w:val="32"/>
          <w:szCs w:val="32"/>
        </w:rPr>
        <w:t>进行理财操作，应当承担相应的过错责任。投资者受到此类损失，应积极依法通过调解、仲裁或者诉讼等渠道维护自己的权益。其中，</w:t>
      </w:r>
      <w:r w:rsidR="00235C62" w:rsidRPr="00FE559C">
        <w:rPr>
          <w:rFonts w:eastAsia="仿宋"/>
          <w:sz w:val="32"/>
          <w:szCs w:val="32"/>
        </w:rPr>
        <w:t>通过调解</w:t>
      </w:r>
      <w:r w:rsidR="00471B0A">
        <w:rPr>
          <w:rFonts w:eastAsia="仿宋" w:hint="eastAsia"/>
          <w:sz w:val="32"/>
          <w:szCs w:val="32"/>
        </w:rPr>
        <w:t>方式解决纠纷</w:t>
      </w:r>
      <w:r w:rsidR="00235C62" w:rsidRPr="00FE559C">
        <w:rPr>
          <w:rFonts w:eastAsia="仿宋"/>
          <w:sz w:val="32"/>
          <w:szCs w:val="32"/>
        </w:rPr>
        <w:t>，</w:t>
      </w:r>
      <w:r w:rsidR="00471B0A">
        <w:rPr>
          <w:rFonts w:eastAsia="仿宋" w:hint="eastAsia"/>
          <w:sz w:val="32"/>
          <w:szCs w:val="32"/>
        </w:rPr>
        <w:t>具有申请便捷、程序简便、</w:t>
      </w:r>
      <w:r w:rsidR="00235C62" w:rsidRPr="00FE559C">
        <w:rPr>
          <w:rFonts w:eastAsia="仿宋"/>
          <w:sz w:val="32"/>
          <w:szCs w:val="32"/>
        </w:rPr>
        <w:t>周期</w:t>
      </w:r>
      <w:r w:rsidR="00471B0A">
        <w:rPr>
          <w:rFonts w:eastAsia="仿宋" w:hint="eastAsia"/>
          <w:sz w:val="32"/>
          <w:szCs w:val="32"/>
        </w:rPr>
        <w:t>短等优势</w:t>
      </w:r>
      <w:r w:rsidR="00471B0A">
        <w:rPr>
          <w:rFonts w:eastAsia="仿宋"/>
          <w:sz w:val="32"/>
          <w:szCs w:val="32"/>
        </w:rPr>
        <w:t>，</w:t>
      </w:r>
      <w:r w:rsidR="00471B0A">
        <w:rPr>
          <w:rFonts w:eastAsia="仿宋" w:hint="eastAsia"/>
          <w:sz w:val="32"/>
          <w:szCs w:val="32"/>
        </w:rPr>
        <w:t>而且，目前</w:t>
      </w:r>
      <w:r w:rsidR="00471B0A">
        <w:rPr>
          <w:rFonts w:eastAsia="仿宋"/>
          <w:sz w:val="32"/>
          <w:szCs w:val="32"/>
        </w:rPr>
        <w:t>投资者服务中心</w:t>
      </w:r>
      <w:r w:rsidR="00471B0A">
        <w:rPr>
          <w:rFonts w:eastAsia="仿宋" w:hint="eastAsia"/>
          <w:sz w:val="32"/>
          <w:szCs w:val="32"/>
        </w:rPr>
        <w:t>的</w:t>
      </w:r>
      <w:r w:rsidR="001657B3">
        <w:rPr>
          <w:rFonts w:eastAsia="仿宋" w:hint="eastAsia"/>
          <w:sz w:val="32"/>
          <w:szCs w:val="32"/>
        </w:rPr>
        <w:t>专业</w:t>
      </w:r>
      <w:r w:rsidR="00471B0A">
        <w:rPr>
          <w:rFonts w:eastAsia="仿宋"/>
          <w:sz w:val="32"/>
          <w:szCs w:val="32"/>
        </w:rPr>
        <w:t>调解</w:t>
      </w:r>
      <w:r w:rsidR="00471B0A">
        <w:rPr>
          <w:rFonts w:eastAsia="仿宋" w:hint="eastAsia"/>
          <w:sz w:val="32"/>
          <w:szCs w:val="32"/>
        </w:rPr>
        <w:t>服务对中小投资者是</w:t>
      </w:r>
      <w:r w:rsidR="00235C62" w:rsidRPr="00FE559C">
        <w:rPr>
          <w:rFonts w:eastAsia="仿宋"/>
          <w:sz w:val="32"/>
          <w:szCs w:val="32"/>
        </w:rPr>
        <w:t>免费</w:t>
      </w:r>
      <w:r w:rsidR="00471B0A">
        <w:rPr>
          <w:rFonts w:eastAsia="仿宋" w:hint="eastAsia"/>
          <w:sz w:val="32"/>
          <w:szCs w:val="32"/>
        </w:rPr>
        <w:t>的</w:t>
      </w:r>
      <w:r w:rsidR="00235C62" w:rsidRPr="00FE559C">
        <w:rPr>
          <w:rFonts w:eastAsia="仿宋"/>
          <w:sz w:val="32"/>
          <w:szCs w:val="32"/>
        </w:rPr>
        <w:t>，</w:t>
      </w:r>
      <w:r w:rsidR="00471B0A">
        <w:rPr>
          <w:rFonts w:eastAsia="仿宋" w:hint="eastAsia"/>
          <w:sz w:val="32"/>
          <w:szCs w:val="32"/>
        </w:rPr>
        <w:t>通过与人民法院的诉调对接安排，</w:t>
      </w:r>
      <w:r w:rsidR="00235C62" w:rsidRPr="00FE559C">
        <w:rPr>
          <w:rFonts w:eastAsia="仿宋"/>
          <w:sz w:val="32"/>
          <w:szCs w:val="32"/>
        </w:rPr>
        <w:t>调解结果</w:t>
      </w:r>
      <w:r w:rsidR="00471B0A">
        <w:rPr>
          <w:rFonts w:eastAsia="仿宋" w:hint="eastAsia"/>
          <w:sz w:val="32"/>
          <w:szCs w:val="32"/>
        </w:rPr>
        <w:t>也能够获得人民法院的效力确认</w:t>
      </w:r>
      <w:r w:rsidR="001657B3">
        <w:rPr>
          <w:rFonts w:eastAsia="仿宋" w:hint="eastAsia"/>
          <w:sz w:val="32"/>
          <w:szCs w:val="32"/>
        </w:rPr>
        <w:t>，因此，调解解决纠纷具有比较明显的优势。</w:t>
      </w:r>
    </w:p>
    <w:p w:rsidR="004C0C88" w:rsidRDefault="001657B3" w:rsidP="0062303C">
      <w:pPr>
        <w:spacing w:line="600" w:lineRule="exact"/>
        <w:ind w:firstLine="645"/>
        <w:rPr>
          <w:rFonts w:eastAsia="仿宋" w:hint="eastAsia"/>
          <w:sz w:val="32"/>
          <w:szCs w:val="32"/>
        </w:rPr>
      </w:pPr>
      <w:r>
        <w:rPr>
          <w:rFonts w:eastAsia="仿宋" w:hint="eastAsia"/>
          <w:sz w:val="32"/>
          <w:szCs w:val="32"/>
        </w:rPr>
        <w:t>2</w:t>
      </w:r>
      <w:r>
        <w:rPr>
          <w:rFonts w:eastAsia="仿宋" w:hint="eastAsia"/>
          <w:sz w:val="32"/>
          <w:szCs w:val="32"/>
        </w:rPr>
        <w:t>、</w:t>
      </w:r>
      <w:r w:rsidR="004C0C88" w:rsidRPr="004C0C88">
        <w:rPr>
          <w:rFonts w:eastAsia="仿宋" w:hint="eastAsia"/>
          <w:sz w:val="32"/>
          <w:szCs w:val="32"/>
        </w:rPr>
        <w:t>投资者</w:t>
      </w:r>
      <w:r>
        <w:rPr>
          <w:rFonts w:eastAsia="仿宋" w:hint="eastAsia"/>
          <w:sz w:val="32"/>
          <w:szCs w:val="32"/>
        </w:rPr>
        <w:t>要主动</w:t>
      </w:r>
      <w:r w:rsidR="004C0C88">
        <w:rPr>
          <w:rFonts w:eastAsia="仿宋" w:hint="eastAsia"/>
          <w:sz w:val="32"/>
          <w:szCs w:val="32"/>
        </w:rPr>
        <w:t>了解证券期货市场</w:t>
      </w:r>
      <w:r>
        <w:rPr>
          <w:rFonts w:eastAsia="仿宋" w:hint="eastAsia"/>
          <w:sz w:val="32"/>
          <w:szCs w:val="32"/>
        </w:rPr>
        <w:t>相关规定</w:t>
      </w:r>
      <w:r w:rsidR="00275CD5">
        <w:rPr>
          <w:rFonts w:eastAsia="仿宋" w:hint="eastAsia"/>
          <w:sz w:val="32"/>
          <w:szCs w:val="32"/>
        </w:rPr>
        <w:t>，避免资金投向违规的产品。在该案中，投资者承担了部分过错责任，这也提醒广大投资者，</w:t>
      </w:r>
      <w:r w:rsidR="0040645A">
        <w:rPr>
          <w:rFonts w:eastAsia="仿宋" w:hint="eastAsia"/>
          <w:sz w:val="32"/>
          <w:szCs w:val="32"/>
        </w:rPr>
        <w:t>不能因为短期的利益而忽视投资风险，由此给自己带来更大的损失</w:t>
      </w:r>
      <w:r w:rsidR="00275CD5">
        <w:rPr>
          <w:rFonts w:eastAsia="仿宋" w:hint="eastAsia"/>
          <w:sz w:val="32"/>
          <w:szCs w:val="32"/>
        </w:rPr>
        <w:t>。</w:t>
      </w:r>
    </w:p>
    <w:p w:rsidR="000B4C43" w:rsidRPr="000B4C43" w:rsidRDefault="000B4C43" w:rsidP="0062303C">
      <w:pPr>
        <w:spacing w:line="600" w:lineRule="exact"/>
        <w:ind w:firstLine="645"/>
        <w:rPr>
          <w:rFonts w:eastAsia="仿宋"/>
          <w:sz w:val="32"/>
          <w:szCs w:val="32"/>
        </w:rPr>
      </w:pPr>
      <w:r w:rsidRPr="000B4C43">
        <w:rPr>
          <w:rFonts w:eastAsia="仿宋" w:hint="eastAsia"/>
          <w:sz w:val="32"/>
          <w:szCs w:val="32"/>
        </w:rPr>
        <w:t>如果您是投资者或证券期货基金市场机构、上市公司等市场主体，也有纠纷调解需求，可以填写纠纷调解申请并将身份证明文件以及纠纷相关材料等发送到</w:t>
      </w:r>
      <w:r w:rsidRPr="000B4C43">
        <w:rPr>
          <w:rFonts w:eastAsia="仿宋" w:hint="eastAsia"/>
          <w:sz w:val="32"/>
          <w:szCs w:val="32"/>
        </w:rPr>
        <w:t>jftj@isc.com.cn</w:t>
      </w:r>
      <w:r w:rsidRPr="000B4C43">
        <w:rPr>
          <w:rFonts w:eastAsia="仿宋" w:hint="eastAsia"/>
          <w:sz w:val="32"/>
          <w:szCs w:val="32"/>
        </w:rPr>
        <w:t>邮箱，就可以正式提起证券期货纠纷调解申请。投服中心调解工作人员会在接到您的调解申请后，及时与您取得联系。</w:t>
      </w:r>
    </w:p>
    <w:sectPr w:rsidR="000B4C43" w:rsidRPr="000B4C43" w:rsidSect="00951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9EC" w:rsidRDefault="00F159EC" w:rsidP="00A854E6">
      <w:r>
        <w:separator/>
      </w:r>
    </w:p>
  </w:endnote>
  <w:endnote w:type="continuationSeparator" w:id="1">
    <w:p w:rsidR="00F159EC" w:rsidRDefault="00F159EC" w:rsidP="00A85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9EC" w:rsidRDefault="00F159EC" w:rsidP="00A854E6">
      <w:r>
        <w:separator/>
      </w:r>
    </w:p>
  </w:footnote>
  <w:footnote w:type="continuationSeparator" w:id="1">
    <w:p w:rsidR="00F159EC" w:rsidRDefault="00F159EC" w:rsidP="00A85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4E6"/>
    <w:rsid w:val="00051A00"/>
    <w:rsid w:val="0005662B"/>
    <w:rsid w:val="000B4C43"/>
    <w:rsid w:val="001021A6"/>
    <w:rsid w:val="00156074"/>
    <w:rsid w:val="001657B3"/>
    <w:rsid w:val="001A42A3"/>
    <w:rsid w:val="001A4DA4"/>
    <w:rsid w:val="001D67E8"/>
    <w:rsid w:val="001E1B18"/>
    <w:rsid w:val="001F598C"/>
    <w:rsid w:val="002022CA"/>
    <w:rsid w:val="00213165"/>
    <w:rsid w:val="00235C62"/>
    <w:rsid w:val="00275CD5"/>
    <w:rsid w:val="00384E29"/>
    <w:rsid w:val="003A005C"/>
    <w:rsid w:val="003E27BB"/>
    <w:rsid w:val="003F1EBF"/>
    <w:rsid w:val="003F47C3"/>
    <w:rsid w:val="0040645A"/>
    <w:rsid w:val="00471B0A"/>
    <w:rsid w:val="004C0C88"/>
    <w:rsid w:val="004C7801"/>
    <w:rsid w:val="005023DA"/>
    <w:rsid w:val="00514E8F"/>
    <w:rsid w:val="0054482C"/>
    <w:rsid w:val="00567D84"/>
    <w:rsid w:val="00583E29"/>
    <w:rsid w:val="005A79E6"/>
    <w:rsid w:val="005B7B98"/>
    <w:rsid w:val="005D683A"/>
    <w:rsid w:val="0062303C"/>
    <w:rsid w:val="00635715"/>
    <w:rsid w:val="00734242"/>
    <w:rsid w:val="00781B68"/>
    <w:rsid w:val="00797324"/>
    <w:rsid w:val="007A43FD"/>
    <w:rsid w:val="007C4F0C"/>
    <w:rsid w:val="00841417"/>
    <w:rsid w:val="00856CA9"/>
    <w:rsid w:val="00866FDC"/>
    <w:rsid w:val="00877522"/>
    <w:rsid w:val="00882848"/>
    <w:rsid w:val="008912D8"/>
    <w:rsid w:val="00893B66"/>
    <w:rsid w:val="008C060C"/>
    <w:rsid w:val="008D334D"/>
    <w:rsid w:val="00951B1A"/>
    <w:rsid w:val="009561A8"/>
    <w:rsid w:val="00991B42"/>
    <w:rsid w:val="009A2DEF"/>
    <w:rsid w:val="00A056B1"/>
    <w:rsid w:val="00A3528E"/>
    <w:rsid w:val="00A854E6"/>
    <w:rsid w:val="00A91B26"/>
    <w:rsid w:val="00AD254E"/>
    <w:rsid w:val="00B14575"/>
    <w:rsid w:val="00B26BBE"/>
    <w:rsid w:val="00BA174E"/>
    <w:rsid w:val="00C17392"/>
    <w:rsid w:val="00C27C2C"/>
    <w:rsid w:val="00C70E36"/>
    <w:rsid w:val="00C86FA3"/>
    <w:rsid w:val="00CC331B"/>
    <w:rsid w:val="00CD5D8B"/>
    <w:rsid w:val="00CF6427"/>
    <w:rsid w:val="00D07721"/>
    <w:rsid w:val="00D21E33"/>
    <w:rsid w:val="00D2708D"/>
    <w:rsid w:val="00D327EB"/>
    <w:rsid w:val="00D778FF"/>
    <w:rsid w:val="00E15AC5"/>
    <w:rsid w:val="00E44903"/>
    <w:rsid w:val="00E70296"/>
    <w:rsid w:val="00E72B2D"/>
    <w:rsid w:val="00E81D46"/>
    <w:rsid w:val="00F159EC"/>
    <w:rsid w:val="00F761C0"/>
    <w:rsid w:val="00F952B6"/>
    <w:rsid w:val="00FE03DB"/>
    <w:rsid w:val="00FE5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4E6"/>
    <w:rPr>
      <w:sz w:val="18"/>
      <w:szCs w:val="18"/>
    </w:rPr>
  </w:style>
  <w:style w:type="paragraph" w:styleId="a4">
    <w:name w:val="footer"/>
    <w:basedOn w:val="a"/>
    <w:link w:val="Char0"/>
    <w:uiPriority w:val="99"/>
    <w:unhideWhenUsed/>
    <w:rsid w:val="00A854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54E6"/>
    <w:rPr>
      <w:sz w:val="18"/>
      <w:szCs w:val="18"/>
    </w:rPr>
  </w:style>
  <w:style w:type="character" w:customStyle="1" w:styleId="stylekwd">
    <w:name w:val="style_kwd"/>
    <w:basedOn w:val="a0"/>
    <w:rsid w:val="00893B66"/>
  </w:style>
  <w:style w:type="paragraph" w:styleId="a5">
    <w:name w:val="Normal (Web)"/>
    <w:basedOn w:val="a"/>
    <w:uiPriority w:val="99"/>
    <w:unhideWhenUsed/>
    <w:rsid w:val="00893B6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93B66"/>
    <w:rPr>
      <w:b/>
      <w:bCs/>
    </w:rPr>
  </w:style>
  <w:style w:type="paragraph" w:customStyle="1" w:styleId="1">
    <w:name w:val="列出段落1"/>
    <w:basedOn w:val="a"/>
    <w:rsid w:val="004C0C88"/>
    <w:pPr>
      <w:ind w:firstLineChars="200" w:firstLine="42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4E6"/>
    <w:rPr>
      <w:sz w:val="18"/>
      <w:szCs w:val="18"/>
    </w:rPr>
  </w:style>
  <w:style w:type="paragraph" w:styleId="a4">
    <w:name w:val="footer"/>
    <w:basedOn w:val="a"/>
    <w:link w:val="Char0"/>
    <w:uiPriority w:val="99"/>
    <w:unhideWhenUsed/>
    <w:rsid w:val="00A854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54E6"/>
    <w:rPr>
      <w:sz w:val="18"/>
      <w:szCs w:val="18"/>
    </w:rPr>
  </w:style>
  <w:style w:type="character" w:customStyle="1" w:styleId="stylekwd">
    <w:name w:val="style_kwd"/>
    <w:basedOn w:val="a0"/>
    <w:rsid w:val="00893B66"/>
  </w:style>
  <w:style w:type="paragraph" w:styleId="a5">
    <w:name w:val="Normal (Web)"/>
    <w:basedOn w:val="a"/>
    <w:uiPriority w:val="99"/>
    <w:unhideWhenUsed/>
    <w:rsid w:val="00893B6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893B66"/>
    <w:rPr>
      <w:b/>
      <w:bCs/>
    </w:rPr>
  </w:style>
  <w:style w:type="paragraph" w:customStyle="1" w:styleId="1">
    <w:name w:val="列出段落1"/>
    <w:basedOn w:val="a"/>
    <w:rsid w:val="004C0C88"/>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5333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22875.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胡海平</dc:creator>
  <cp:lastModifiedBy>胡海平</cp:lastModifiedBy>
  <cp:revision>3</cp:revision>
  <dcterms:created xsi:type="dcterms:W3CDTF">2017-01-10T07:52:00Z</dcterms:created>
  <dcterms:modified xsi:type="dcterms:W3CDTF">2017-01-10T07:55:00Z</dcterms:modified>
</cp:coreProperties>
</file>