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大标宋简体" w:hAnsi="宋体" w:eastAsia="方正大标宋简体"/>
          <w:b/>
          <w:sz w:val="44"/>
          <w:szCs w:val="44"/>
        </w:rPr>
      </w:pPr>
      <w:r>
        <w:rPr>
          <w:rFonts w:hint="eastAsia" w:ascii="方正大标宋简体" w:hAnsi="宋体" w:eastAsia="方正大标宋简体"/>
          <w:b/>
          <w:sz w:val="44"/>
          <w:szCs w:val="44"/>
        </w:rPr>
        <w:t>黑龙江证券期货纠纷仲裁调解中心</w:t>
      </w:r>
    </w:p>
    <w:p>
      <w:pPr>
        <w:jc w:val="center"/>
        <w:rPr>
          <w:rFonts w:ascii="仿宋_GB2312" w:hAnsi="宋体" w:eastAsia="仿宋_GB2312"/>
          <w:b/>
          <w:sz w:val="32"/>
          <w:szCs w:val="32"/>
        </w:rPr>
      </w:pPr>
      <w:r>
        <w:rPr>
          <w:rFonts w:hint="eastAsia" w:ascii="方正大标宋简体" w:hAnsi="宋体" w:eastAsia="方正大标宋简体"/>
          <w:b/>
          <w:sz w:val="44"/>
          <w:szCs w:val="44"/>
        </w:rPr>
        <w:t>纠纷调解典型案例分析</w:t>
      </w:r>
    </w:p>
    <w:p>
      <w:pPr>
        <w:rPr>
          <w:rFonts w:ascii="黑体" w:hAnsi="仿宋" w:eastAsia="黑体"/>
          <w:sz w:val="32"/>
          <w:szCs w:val="32"/>
        </w:rPr>
      </w:pPr>
    </w:p>
    <w:p>
      <w:pPr>
        <w:rPr>
          <w:rFonts w:ascii="黑体" w:hAnsi="仿宋" w:eastAsia="黑体"/>
          <w:b/>
          <w:bCs/>
          <w:sz w:val="32"/>
          <w:szCs w:val="32"/>
          <w:rPrChange w:id="0" w:author="Administrator" w:date="2017-03-13T14:39:39Z">
            <w:rPr>
              <w:rFonts w:ascii="黑体" w:hAnsi="仿宋" w:eastAsia="黑体"/>
              <w:sz w:val="32"/>
              <w:szCs w:val="32"/>
            </w:rPr>
          </w:rPrChange>
        </w:rPr>
      </w:pPr>
      <w:r>
        <w:rPr>
          <w:rFonts w:hint="eastAsia" w:ascii="黑体" w:hAnsi="仿宋" w:eastAsia="黑体"/>
          <w:b/>
          <w:bCs/>
          <w:sz w:val="32"/>
          <w:szCs w:val="32"/>
          <w:rPrChange w:id="1" w:author="Administrator" w:date="2017-03-13T14:39:39Z">
            <w:rPr>
              <w:rFonts w:hint="eastAsia" w:ascii="黑体" w:hAnsi="仿宋" w:eastAsia="黑体"/>
              <w:sz w:val="32"/>
              <w:szCs w:val="32"/>
            </w:rPr>
          </w:rPrChange>
        </w:rPr>
        <w:t>案例一：基础服务类</w:t>
      </w:r>
    </w:p>
    <w:p>
      <w:pPr>
        <w:rPr>
          <w:rFonts w:ascii="方正楷体简体" w:hAnsi="仿宋" w:eastAsia="方正楷体简体"/>
          <w:b/>
          <w:bCs/>
          <w:sz w:val="32"/>
          <w:szCs w:val="32"/>
          <w:rPrChange w:id="2" w:author="Administrator" w:date="2017-03-13T14:39:39Z">
            <w:rPr>
              <w:rFonts w:ascii="方正楷体简体" w:hAnsi="仿宋" w:eastAsia="方正楷体简体"/>
              <w:sz w:val="32"/>
              <w:szCs w:val="32"/>
            </w:rPr>
          </w:rPrChange>
        </w:rPr>
      </w:pPr>
      <w:r>
        <w:rPr>
          <w:rFonts w:hint="eastAsia" w:ascii="方正楷体简体" w:hAnsi="仿宋" w:eastAsia="方正楷体简体"/>
          <w:b/>
          <w:bCs/>
          <w:sz w:val="32"/>
          <w:szCs w:val="32"/>
          <w:rPrChange w:id="3" w:author="Administrator" w:date="2017-03-13T14:39:39Z">
            <w:rPr>
              <w:rFonts w:hint="eastAsia" w:ascii="方正楷体简体" w:hAnsi="仿宋" w:eastAsia="方正楷体简体"/>
              <w:sz w:val="32"/>
              <w:szCs w:val="32"/>
            </w:rPr>
          </w:rPrChange>
        </w:rPr>
        <w:t>案情简介</w:t>
      </w:r>
    </w:p>
    <w:p>
      <w:pPr>
        <w:ind w:firstLine="640" w:firstLineChars="200"/>
        <w:rPr>
          <w:rFonts w:ascii="仿宋_GB2312" w:hAnsi="仿宋" w:eastAsia="仿宋_GB2312"/>
          <w:b/>
          <w:bCs/>
          <w:sz w:val="32"/>
          <w:szCs w:val="32"/>
          <w:rPrChange w:id="4" w:author="Administrator" w:date="2017-03-13T14:39:39Z">
            <w:rPr>
              <w:rFonts w:ascii="仿宋_GB2312" w:hAnsi="仿宋" w:eastAsia="仿宋_GB2312"/>
              <w:sz w:val="32"/>
              <w:szCs w:val="32"/>
            </w:rPr>
          </w:rPrChange>
        </w:rPr>
      </w:pPr>
      <w:r>
        <w:rPr>
          <w:rFonts w:hint="eastAsia" w:ascii="仿宋_GB2312" w:hAnsi="仿宋" w:eastAsia="仿宋_GB2312"/>
          <w:b/>
          <w:bCs/>
          <w:sz w:val="32"/>
          <w:szCs w:val="32"/>
          <w:rPrChange w:id="5" w:author="Administrator" w:date="2017-03-13T14:39:39Z">
            <w:rPr>
              <w:rFonts w:hint="eastAsia" w:ascii="仿宋_GB2312" w:hAnsi="仿宋" w:eastAsia="仿宋_GB2312"/>
              <w:sz w:val="32"/>
              <w:szCs w:val="32"/>
            </w:rPr>
          </w:rPrChange>
        </w:rPr>
        <w:t>某证券公司客户张某向仲调中心投诉：称其于2014年11月18日起先后4次去营业部办理确权手续，但都未办理成功，每次接待的员工都不是同一人，做出的解释存在差异。期间，投资者还多次电话询问，均未得到合理解释，由此导致股票无法交易造成严重经济损失。</w:t>
      </w:r>
    </w:p>
    <w:p>
      <w:pPr>
        <w:rPr>
          <w:rFonts w:ascii="方正楷体简体" w:hAnsi="仿宋" w:eastAsia="方正楷体简体"/>
          <w:b/>
          <w:bCs/>
          <w:sz w:val="32"/>
          <w:szCs w:val="32"/>
          <w:rPrChange w:id="6" w:author="Administrator" w:date="2017-03-13T14:39:39Z">
            <w:rPr>
              <w:rFonts w:ascii="方正楷体简体" w:hAnsi="仿宋" w:eastAsia="方正楷体简体"/>
              <w:sz w:val="32"/>
              <w:szCs w:val="32"/>
            </w:rPr>
          </w:rPrChange>
        </w:rPr>
      </w:pPr>
      <w:r>
        <w:rPr>
          <w:rFonts w:hint="eastAsia" w:ascii="方正楷体简体" w:hAnsi="仿宋" w:eastAsia="方正楷体简体"/>
          <w:b/>
          <w:bCs/>
          <w:sz w:val="32"/>
          <w:szCs w:val="32"/>
          <w:rPrChange w:id="7" w:author="Administrator" w:date="2017-03-13T14:39:39Z">
            <w:rPr>
              <w:rFonts w:hint="eastAsia" w:ascii="方正楷体简体" w:hAnsi="仿宋" w:eastAsia="方正楷体简体"/>
              <w:sz w:val="32"/>
              <w:szCs w:val="32"/>
            </w:rPr>
          </w:rPrChange>
        </w:rPr>
        <w:t>调解结果</w:t>
      </w:r>
    </w:p>
    <w:p>
      <w:pPr>
        <w:ind w:firstLine="640" w:firstLineChars="200"/>
        <w:rPr>
          <w:rFonts w:ascii="仿宋_GB2312" w:hAnsi="仿宋" w:eastAsia="仿宋_GB2312"/>
          <w:b/>
          <w:bCs/>
          <w:sz w:val="32"/>
          <w:szCs w:val="32"/>
          <w:rPrChange w:id="8" w:author="Administrator" w:date="2017-03-13T14:39:39Z">
            <w:rPr>
              <w:rFonts w:ascii="仿宋_GB2312" w:hAnsi="仿宋" w:eastAsia="仿宋_GB2312"/>
              <w:sz w:val="32"/>
              <w:szCs w:val="32"/>
            </w:rPr>
          </w:rPrChange>
        </w:rPr>
      </w:pPr>
      <w:r>
        <w:rPr>
          <w:rFonts w:hint="eastAsia" w:ascii="仿宋_GB2312" w:hAnsi="仿宋" w:eastAsia="仿宋_GB2312"/>
          <w:b/>
          <w:bCs/>
          <w:sz w:val="32"/>
          <w:szCs w:val="32"/>
          <w:rPrChange w:id="9" w:author="Administrator" w:date="2017-03-13T14:39:39Z">
            <w:rPr>
              <w:rFonts w:hint="eastAsia" w:ascii="仿宋_GB2312" w:hAnsi="仿宋" w:eastAsia="仿宋_GB2312"/>
              <w:sz w:val="32"/>
              <w:szCs w:val="32"/>
            </w:rPr>
          </w:rPrChange>
        </w:rPr>
        <w:t>仲调中心受理此案后，调解人员认真听取了张某的诉求，并对其非理性情绪给予安抚与劝导。随后与证券营业部取得联系，进一步了解客户情况以及营业部相关工作流程。经过多次与双方沟通确认事实情况，认定张某的投诉情况基本属实。营业部在工作流程上存在一定纰漏，柜台员工工作交接存在疏忽。经仲调中心跟踪、协调，该营业部高度重视，积极与张某取得联系，详细介绍了办理该项业务的相关流程，给张某精神安抚，以诚恳的态度取得了张某的谅解，最终达成和解，张某主动撤诉。</w:t>
      </w:r>
    </w:p>
    <w:p>
      <w:pPr>
        <w:rPr>
          <w:rFonts w:ascii="方正楷体简体" w:hAnsi="仿宋" w:eastAsia="方正楷体简体"/>
          <w:b/>
          <w:bCs/>
          <w:sz w:val="32"/>
          <w:szCs w:val="32"/>
          <w:rPrChange w:id="10" w:author="Administrator" w:date="2017-03-13T14:39:39Z">
            <w:rPr>
              <w:rFonts w:ascii="方正楷体简体" w:hAnsi="仿宋" w:eastAsia="方正楷体简体"/>
              <w:sz w:val="32"/>
              <w:szCs w:val="32"/>
            </w:rPr>
          </w:rPrChange>
        </w:rPr>
      </w:pPr>
      <w:r>
        <w:rPr>
          <w:rFonts w:hint="eastAsia" w:ascii="方正楷体简体" w:hAnsi="仿宋" w:eastAsia="方正楷体简体"/>
          <w:b/>
          <w:bCs/>
          <w:sz w:val="32"/>
          <w:szCs w:val="32"/>
          <w:rPrChange w:id="11" w:author="Administrator" w:date="2017-03-13T14:39:39Z">
            <w:rPr>
              <w:rFonts w:hint="eastAsia" w:ascii="方正楷体简体" w:hAnsi="仿宋" w:eastAsia="方正楷体简体"/>
              <w:sz w:val="32"/>
              <w:szCs w:val="32"/>
            </w:rPr>
          </w:rPrChange>
        </w:rPr>
        <w:t>案例评析</w:t>
      </w:r>
    </w:p>
    <w:p>
      <w:pPr>
        <w:ind w:firstLine="640" w:firstLineChars="200"/>
        <w:rPr>
          <w:rFonts w:ascii="仿宋_GB2312" w:hAnsi="仿宋" w:eastAsia="仿宋_GB2312"/>
          <w:b/>
          <w:bCs/>
          <w:sz w:val="32"/>
          <w:szCs w:val="32"/>
          <w:rPrChange w:id="12" w:author="Administrator" w:date="2017-03-13T14:39:39Z">
            <w:rPr>
              <w:rFonts w:ascii="仿宋_GB2312" w:hAnsi="仿宋" w:eastAsia="仿宋_GB2312"/>
              <w:sz w:val="32"/>
              <w:szCs w:val="32"/>
            </w:rPr>
          </w:rPrChange>
        </w:rPr>
      </w:pPr>
      <w:r>
        <w:rPr>
          <w:rFonts w:hint="eastAsia" w:ascii="仿宋_GB2312" w:hAnsi="仿宋" w:eastAsia="仿宋_GB2312"/>
          <w:b/>
          <w:bCs/>
          <w:sz w:val="32"/>
          <w:szCs w:val="32"/>
          <w:rPrChange w:id="13" w:author="Administrator" w:date="2017-03-13T14:39:39Z">
            <w:rPr>
              <w:rFonts w:hint="eastAsia" w:ascii="仿宋_GB2312" w:hAnsi="仿宋" w:eastAsia="仿宋_GB2312"/>
              <w:sz w:val="32"/>
              <w:szCs w:val="32"/>
            </w:rPr>
          </w:rPrChange>
        </w:rPr>
        <w:t>本案中，张某由于证券营业部自身工作流程存在不完善的原因而就同一件事情往返证券营业部4次，均未得到合理满意的解释，特别是营业部在给张某造成经济损失后并没有采取积极主动的态度去解决，导致张某情绪激动和不满提起  投诉。此案对证券期货经营机构在日常经营管理中的借鉴意义：</w:t>
      </w:r>
    </w:p>
    <w:p>
      <w:pPr>
        <w:ind w:firstLine="800" w:firstLineChars="250"/>
        <w:rPr>
          <w:rFonts w:ascii="仿宋_GB2312" w:hAnsi="仿宋" w:eastAsia="仿宋_GB2312"/>
          <w:b/>
          <w:bCs/>
          <w:sz w:val="32"/>
          <w:szCs w:val="32"/>
          <w:rPrChange w:id="14" w:author="Administrator" w:date="2017-03-13T14:39:39Z">
            <w:rPr>
              <w:rFonts w:ascii="仿宋_GB2312" w:hAnsi="仿宋" w:eastAsia="仿宋_GB2312"/>
              <w:sz w:val="32"/>
              <w:szCs w:val="32"/>
            </w:rPr>
          </w:rPrChange>
        </w:rPr>
      </w:pPr>
      <w:r>
        <w:rPr>
          <w:rFonts w:hint="eastAsia" w:ascii="仿宋_GB2312" w:hAnsi="仿宋" w:eastAsia="仿宋_GB2312"/>
          <w:b/>
          <w:bCs/>
          <w:sz w:val="32"/>
          <w:szCs w:val="32"/>
          <w:rPrChange w:id="15" w:author="Administrator" w:date="2017-03-13T14:39:39Z">
            <w:rPr>
              <w:rFonts w:hint="eastAsia" w:ascii="仿宋_GB2312" w:hAnsi="仿宋" w:eastAsia="仿宋_GB2312"/>
              <w:sz w:val="32"/>
              <w:szCs w:val="32"/>
            </w:rPr>
          </w:rPrChange>
        </w:rPr>
        <w:t>一是完善制度，要抓好制度落实，责任到人,确保各环节顺畅；二是加强员工管理，提高业务能力和水平，增强责任心和担当意识，提升综合服务质量；三是讲求方式方法，小处着眼，细节入手，强化首问责任制，履行好告知义务。四是明确主体责任，保护投资者合法权益，对投资者提出的诉求不回避拖延，积极应对，合理解决，避免激化矛盾，事态扩大。</w:t>
      </w:r>
    </w:p>
    <w:p>
      <w:pPr>
        <w:ind w:firstLine="800" w:firstLineChars="250"/>
        <w:rPr>
          <w:rFonts w:ascii="仿宋_GB2312" w:hAnsi="仿宋" w:eastAsia="仿宋_GB2312"/>
          <w:b/>
          <w:bCs/>
          <w:sz w:val="32"/>
          <w:szCs w:val="32"/>
          <w:rPrChange w:id="16" w:author="Administrator" w:date="2017-03-13T14:39:39Z">
            <w:rPr>
              <w:rFonts w:ascii="仿宋_GB2312" w:hAnsi="仿宋" w:eastAsia="仿宋_GB2312"/>
              <w:sz w:val="32"/>
              <w:szCs w:val="32"/>
            </w:rPr>
          </w:rPrChange>
        </w:rPr>
      </w:pPr>
      <w:r>
        <w:rPr>
          <w:rFonts w:hint="eastAsia" w:ascii="仿宋_GB2312" w:hAnsi="仿宋" w:eastAsia="仿宋_GB2312"/>
          <w:b/>
          <w:bCs/>
          <w:sz w:val="32"/>
          <w:szCs w:val="32"/>
          <w:rPrChange w:id="17" w:author="Administrator" w:date="2017-03-13T14:39:39Z">
            <w:rPr>
              <w:rFonts w:hint="eastAsia" w:ascii="仿宋_GB2312" w:hAnsi="仿宋" w:eastAsia="仿宋_GB2312"/>
              <w:sz w:val="32"/>
              <w:szCs w:val="32"/>
            </w:rPr>
          </w:rPrChange>
        </w:rPr>
        <w:t>本案对投资者的警示意义:一是先行主动与自己的投资顾问取得联系，进行沟通争取解决。二是通过证券公司的网站了解公司业务流程，核对操作过程，检查问题所在。三是提出诉求前，做好相关手续的查找和备份工作。四是保持平和心态，避免冲突，争取协商解决。</w:t>
      </w:r>
    </w:p>
    <w:p>
      <w:pPr>
        <w:rPr>
          <w:rFonts w:ascii="黑体" w:hAnsi="仿宋" w:eastAsia="黑体"/>
          <w:b/>
          <w:bCs/>
          <w:sz w:val="32"/>
          <w:szCs w:val="32"/>
          <w:rPrChange w:id="18" w:author="Administrator" w:date="2017-03-13T14:39:39Z">
            <w:rPr>
              <w:rFonts w:ascii="黑体" w:hAnsi="仿宋" w:eastAsia="黑体"/>
              <w:sz w:val="32"/>
              <w:szCs w:val="32"/>
            </w:rPr>
          </w:rPrChange>
        </w:rPr>
      </w:pPr>
      <w:r>
        <w:rPr>
          <w:rFonts w:hint="eastAsia" w:ascii="黑体" w:hAnsi="仿宋" w:eastAsia="黑体"/>
          <w:b/>
          <w:bCs/>
          <w:sz w:val="32"/>
          <w:szCs w:val="32"/>
          <w:rPrChange w:id="19" w:author="Administrator" w:date="2017-03-13T14:39:39Z">
            <w:rPr>
              <w:rFonts w:hint="eastAsia" w:ascii="黑体" w:hAnsi="仿宋" w:eastAsia="黑体"/>
              <w:sz w:val="32"/>
              <w:szCs w:val="32"/>
            </w:rPr>
          </w:rPrChange>
        </w:rPr>
        <w:t>案例二：规范经营类</w:t>
      </w:r>
    </w:p>
    <w:p>
      <w:pPr>
        <w:rPr>
          <w:rFonts w:ascii="方正楷体简体" w:hAnsi="仿宋" w:eastAsia="方正楷体简体"/>
          <w:b/>
          <w:bCs/>
          <w:sz w:val="32"/>
          <w:szCs w:val="32"/>
          <w:rPrChange w:id="20" w:author="Administrator" w:date="2017-03-13T14:39:39Z">
            <w:rPr>
              <w:rFonts w:ascii="方正楷体简体" w:hAnsi="仿宋" w:eastAsia="方正楷体简体"/>
              <w:sz w:val="32"/>
              <w:szCs w:val="32"/>
            </w:rPr>
          </w:rPrChange>
        </w:rPr>
      </w:pPr>
      <w:r>
        <w:rPr>
          <w:rFonts w:hint="eastAsia" w:ascii="方正楷体简体" w:hAnsi="仿宋" w:eastAsia="方正楷体简体"/>
          <w:b/>
          <w:bCs/>
          <w:sz w:val="32"/>
          <w:szCs w:val="32"/>
          <w:rPrChange w:id="21" w:author="Administrator" w:date="2017-03-13T14:39:39Z">
            <w:rPr>
              <w:rFonts w:hint="eastAsia" w:ascii="方正楷体简体" w:hAnsi="仿宋" w:eastAsia="方正楷体简体"/>
              <w:sz w:val="32"/>
              <w:szCs w:val="32"/>
            </w:rPr>
          </w:rPrChange>
        </w:rPr>
        <w:t>案情简介</w:t>
      </w:r>
    </w:p>
    <w:p>
      <w:pPr>
        <w:ind w:firstLine="640" w:firstLineChars="200"/>
        <w:rPr>
          <w:rFonts w:ascii="仿宋_GB2312" w:hAnsi="仿宋" w:eastAsia="仿宋_GB2312"/>
          <w:b/>
          <w:bCs/>
          <w:sz w:val="32"/>
          <w:szCs w:val="32"/>
          <w:rPrChange w:id="22" w:author="Administrator" w:date="2017-03-13T14:39:39Z">
            <w:rPr>
              <w:rFonts w:ascii="仿宋_GB2312" w:hAnsi="仿宋" w:eastAsia="仿宋_GB2312"/>
              <w:sz w:val="32"/>
              <w:szCs w:val="32"/>
            </w:rPr>
          </w:rPrChange>
        </w:rPr>
      </w:pPr>
      <w:r>
        <w:rPr>
          <w:rFonts w:hint="eastAsia" w:ascii="仿宋_GB2312" w:hAnsi="仿宋" w:eastAsia="仿宋_GB2312"/>
          <w:b/>
          <w:bCs/>
          <w:sz w:val="32"/>
          <w:szCs w:val="32"/>
          <w:rPrChange w:id="23" w:author="Administrator" w:date="2017-03-13T14:39:39Z">
            <w:rPr>
              <w:rFonts w:hint="eastAsia" w:ascii="仿宋_GB2312" w:hAnsi="仿宋" w:eastAsia="仿宋_GB2312"/>
              <w:sz w:val="32"/>
              <w:szCs w:val="32"/>
            </w:rPr>
          </w:rPrChange>
        </w:rPr>
        <w:t>某证券公司客户王某向仲调中心投诉，其身份证时效过期导致证券交易资金转出受到限制由于本人现在异地，不能临柜办理相关业务，想在异地办理，但是证券营业部答复异地无法受理，需到开户营业部办理，客户因对此不认同转而投诉。</w:t>
      </w:r>
    </w:p>
    <w:p>
      <w:pPr>
        <w:rPr>
          <w:rFonts w:ascii="方正楷体简体" w:hAnsi="仿宋" w:eastAsia="方正楷体简体"/>
          <w:b/>
          <w:bCs/>
          <w:sz w:val="32"/>
          <w:szCs w:val="32"/>
          <w:rPrChange w:id="24" w:author="Administrator" w:date="2017-03-13T14:39:39Z">
            <w:rPr>
              <w:rFonts w:ascii="方正楷体简体" w:hAnsi="仿宋" w:eastAsia="方正楷体简体"/>
              <w:sz w:val="32"/>
              <w:szCs w:val="32"/>
            </w:rPr>
          </w:rPrChange>
        </w:rPr>
      </w:pPr>
      <w:r>
        <w:rPr>
          <w:rFonts w:hint="eastAsia" w:ascii="方正楷体简体" w:hAnsi="仿宋" w:eastAsia="方正楷体简体"/>
          <w:b/>
          <w:bCs/>
          <w:sz w:val="32"/>
          <w:szCs w:val="32"/>
          <w:rPrChange w:id="25" w:author="Administrator" w:date="2017-03-13T14:39:39Z">
            <w:rPr>
              <w:rFonts w:hint="eastAsia" w:ascii="方正楷体简体" w:hAnsi="仿宋" w:eastAsia="方正楷体简体"/>
              <w:sz w:val="32"/>
              <w:szCs w:val="32"/>
            </w:rPr>
          </w:rPrChange>
        </w:rPr>
        <w:t>调解结果</w:t>
      </w:r>
    </w:p>
    <w:p>
      <w:pPr>
        <w:ind w:firstLine="640" w:firstLineChars="200"/>
        <w:rPr>
          <w:rFonts w:ascii="仿宋_GB2312" w:hAnsi="仿宋" w:eastAsia="仿宋_GB2312"/>
          <w:b/>
          <w:bCs/>
          <w:sz w:val="32"/>
          <w:szCs w:val="32"/>
          <w:rPrChange w:id="26" w:author="Administrator" w:date="2017-03-13T14:39:39Z">
            <w:rPr>
              <w:rFonts w:ascii="仿宋_GB2312" w:hAnsi="仿宋" w:eastAsia="仿宋_GB2312"/>
              <w:sz w:val="32"/>
              <w:szCs w:val="32"/>
            </w:rPr>
          </w:rPrChange>
        </w:rPr>
      </w:pPr>
      <w:r>
        <w:rPr>
          <w:rFonts w:hint="eastAsia" w:ascii="仿宋_GB2312" w:hAnsi="仿宋" w:eastAsia="仿宋_GB2312"/>
          <w:b/>
          <w:bCs/>
          <w:sz w:val="32"/>
          <w:szCs w:val="32"/>
          <w:rPrChange w:id="27" w:author="Administrator" w:date="2017-03-13T14:39:39Z">
            <w:rPr>
              <w:rFonts w:hint="eastAsia" w:ascii="仿宋_GB2312" w:hAnsi="仿宋" w:eastAsia="仿宋_GB2312"/>
              <w:sz w:val="32"/>
              <w:szCs w:val="32"/>
            </w:rPr>
          </w:rPrChange>
        </w:rPr>
        <w:t>仲调中心接到投诉后，调解人员一方面安抚王某情绪，耐心向其做解释说明工作。使其知道第一营业部限制其资金转出是依据《金融机构客户身份识别和客户身份资料及交易记录保存管理办法》第19条第2款规定：“客户先前提交的身份证件或者身份证明文件已过有效期的，客户没有在合理期限内更新且没有提出合理理由的，金融机构应中止为客户办理业务。”是证监会对投资者资金安全的保护措施。第二营业部要求投资者必须在开户营业部临柜办理个人信息变更手续，同样也是为了对投资者负责任、保证投资者账户资金的安全，是按照证监会及证券公司规章制度要求办事，。另一方面调解人员考虑到王某的特殊情况，积极与营业部沟通，描述投资者状况，提出处理相关业务的建议，希望从方便投资者角度特事特办。最终营业部采纳了调解人员的建议，主动与王某联系，通过公司内部协调，为该客户在异地办理了身份证信息更新业务，得到了客户的理解和认可，双方达成和解。</w:t>
      </w:r>
    </w:p>
    <w:p>
      <w:pPr>
        <w:rPr>
          <w:rFonts w:ascii="方正楷体简体" w:hAnsi="仿宋" w:eastAsia="方正楷体简体"/>
          <w:b/>
          <w:bCs/>
          <w:sz w:val="32"/>
          <w:szCs w:val="32"/>
          <w:rPrChange w:id="28" w:author="Administrator" w:date="2017-03-13T14:39:39Z">
            <w:rPr>
              <w:rFonts w:ascii="方正楷体简体" w:hAnsi="仿宋" w:eastAsia="方正楷体简体"/>
              <w:sz w:val="32"/>
              <w:szCs w:val="32"/>
            </w:rPr>
          </w:rPrChange>
        </w:rPr>
      </w:pPr>
      <w:r>
        <w:rPr>
          <w:rFonts w:hint="eastAsia" w:ascii="方正楷体简体" w:hAnsi="仿宋" w:eastAsia="方正楷体简体"/>
          <w:b/>
          <w:bCs/>
          <w:sz w:val="32"/>
          <w:szCs w:val="32"/>
          <w:rPrChange w:id="29" w:author="Administrator" w:date="2017-03-13T14:39:39Z">
            <w:rPr>
              <w:rFonts w:hint="eastAsia" w:ascii="方正楷体简体" w:hAnsi="仿宋" w:eastAsia="方正楷体简体"/>
              <w:sz w:val="32"/>
              <w:szCs w:val="32"/>
            </w:rPr>
          </w:rPrChange>
        </w:rPr>
        <w:t>案例评析</w:t>
      </w:r>
    </w:p>
    <w:p>
      <w:pPr>
        <w:ind w:firstLine="640" w:firstLineChars="200"/>
        <w:rPr>
          <w:rFonts w:ascii="仿宋_GB2312" w:hAnsi="仿宋" w:eastAsia="仿宋_GB2312"/>
          <w:b/>
          <w:bCs/>
          <w:sz w:val="32"/>
          <w:szCs w:val="32"/>
          <w:rPrChange w:id="30" w:author="Administrator" w:date="2017-03-13T14:39:39Z">
            <w:rPr>
              <w:rFonts w:ascii="仿宋_GB2312" w:hAnsi="仿宋" w:eastAsia="仿宋_GB2312"/>
              <w:sz w:val="32"/>
              <w:szCs w:val="32"/>
            </w:rPr>
          </w:rPrChange>
        </w:rPr>
      </w:pPr>
      <w:r>
        <w:rPr>
          <w:rFonts w:hint="eastAsia" w:ascii="仿宋_GB2312" w:hAnsi="仿宋" w:eastAsia="仿宋_GB2312"/>
          <w:b/>
          <w:bCs/>
          <w:sz w:val="32"/>
          <w:szCs w:val="32"/>
          <w:rPrChange w:id="31" w:author="Administrator" w:date="2017-03-13T14:39:39Z">
            <w:rPr>
              <w:rFonts w:hint="eastAsia" w:ascii="仿宋_GB2312" w:hAnsi="仿宋" w:eastAsia="仿宋_GB2312"/>
              <w:sz w:val="32"/>
              <w:szCs w:val="32"/>
            </w:rPr>
          </w:rPrChange>
        </w:rPr>
        <w:t>本案中，双方意见的分歧点在于必须在开户营业部临柜办理身份证更新业务的合理性以及证券公司的服务态度。异地证券营业部从保护投资者账户安全的角度出发执行相关规定行为并无过错，但是，营业部需要注意和改进的一是要避免由于信息不对称与投资者产生误解，对投资者要尽到充分的告知义务，确保客户的知情权。二是营业部员工在执行各项业务相关规定发现问题时，要及时与投资者取得联系，积极耐心的与客户进行解释沟通，取得投资者对工作的支持。三是在为投资者服务的过程中，要适当体现人文关怀和人性化考虑，加强服务意识，提高服务质量，努力为投资者提供便捷，简化、优质服务，四是要把对投资者教育工作投保贯穿与经营管理始终。</w:t>
      </w:r>
    </w:p>
    <w:p>
      <w:pPr>
        <w:ind w:firstLine="640" w:firstLineChars="200"/>
        <w:rPr>
          <w:rFonts w:ascii="仿宋_GB2312" w:hAnsi="仿宋" w:eastAsia="仿宋_GB2312"/>
          <w:b/>
          <w:bCs/>
          <w:sz w:val="32"/>
          <w:szCs w:val="32"/>
          <w:rPrChange w:id="32" w:author="Administrator" w:date="2017-03-13T14:39:39Z">
            <w:rPr>
              <w:rFonts w:ascii="仿宋_GB2312" w:hAnsi="仿宋" w:eastAsia="仿宋_GB2312"/>
              <w:sz w:val="32"/>
              <w:szCs w:val="32"/>
            </w:rPr>
          </w:rPrChange>
        </w:rPr>
      </w:pPr>
      <w:r>
        <w:rPr>
          <w:rFonts w:hint="eastAsia" w:ascii="仿宋_GB2312" w:hAnsi="仿宋" w:eastAsia="仿宋_GB2312"/>
          <w:b/>
          <w:bCs/>
          <w:sz w:val="32"/>
          <w:szCs w:val="32"/>
          <w:rPrChange w:id="33" w:author="Administrator" w:date="2017-03-13T14:39:39Z">
            <w:rPr>
              <w:rFonts w:hint="eastAsia" w:ascii="仿宋_GB2312" w:hAnsi="仿宋" w:eastAsia="仿宋_GB2312"/>
              <w:sz w:val="32"/>
              <w:szCs w:val="32"/>
            </w:rPr>
          </w:rPrChange>
        </w:rPr>
        <w:t>投资者从事证券交易活动，应当始终保持风险意识，自我保护意识，对涉及交易活动的基本法律法规及相关规定要有常识性的了解和掌握。要与证券公司营业部建立互信关系和顺畅的沟通联系，积极主动配合营业部开展各项工作，做理性投资者，成熟投资者。</w:t>
      </w:r>
    </w:p>
    <w:p>
      <w:pPr>
        <w:ind w:firstLine="960" w:firstLineChars="300"/>
        <w:rPr>
          <w:rFonts w:ascii="仿宋_GB2312" w:hAnsi="仿宋" w:eastAsia="仿宋_GB2312"/>
          <w:b/>
          <w:bCs/>
          <w:sz w:val="32"/>
          <w:szCs w:val="32"/>
          <w:rPrChange w:id="34" w:author="Administrator" w:date="2017-03-13T14:39:39Z">
            <w:rPr>
              <w:rFonts w:ascii="仿宋_GB2312" w:hAnsi="仿宋" w:eastAsia="仿宋_GB2312"/>
              <w:sz w:val="32"/>
              <w:szCs w:val="32"/>
            </w:rPr>
          </w:rPrChange>
        </w:rPr>
      </w:pPr>
    </w:p>
    <w:p>
      <w:pPr>
        <w:rPr>
          <w:rFonts w:ascii="黑体" w:hAnsi="仿宋" w:eastAsia="黑体"/>
          <w:b/>
          <w:bCs/>
          <w:sz w:val="32"/>
          <w:szCs w:val="32"/>
          <w:rPrChange w:id="35" w:author="Administrator" w:date="2017-03-13T14:39:39Z">
            <w:rPr>
              <w:rFonts w:ascii="黑体" w:hAnsi="仿宋" w:eastAsia="黑体"/>
              <w:sz w:val="32"/>
              <w:szCs w:val="32"/>
            </w:rPr>
          </w:rPrChange>
        </w:rPr>
      </w:pPr>
      <w:r>
        <w:rPr>
          <w:rFonts w:hint="eastAsia" w:ascii="黑体" w:hAnsi="仿宋" w:eastAsia="黑体"/>
          <w:b/>
          <w:bCs/>
          <w:sz w:val="32"/>
          <w:szCs w:val="32"/>
          <w:rPrChange w:id="36" w:author="Administrator" w:date="2017-03-13T14:39:39Z">
            <w:rPr>
              <w:rFonts w:hint="eastAsia" w:ascii="黑体" w:hAnsi="仿宋" w:eastAsia="黑体"/>
              <w:sz w:val="32"/>
              <w:szCs w:val="32"/>
            </w:rPr>
          </w:rPrChange>
        </w:rPr>
        <w:t>案例三：规范经营类</w:t>
      </w:r>
    </w:p>
    <w:p>
      <w:pPr>
        <w:rPr>
          <w:rFonts w:ascii="方正楷体简体" w:hAnsi="仿宋" w:eastAsia="方正楷体简体"/>
          <w:b/>
          <w:bCs/>
          <w:sz w:val="32"/>
          <w:szCs w:val="32"/>
          <w:rPrChange w:id="37" w:author="Administrator" w:date="2017-03-13T14:39:39Z">
            <w:rPr>
              <w:rFonts w:ascii="方正楷体简体" w:hAnsi="仿宋" w:eastAsia="方正楷体简体"/>
              <w:sz w:val="32"/>
              <w:szCs w:val="32"/>
            </w:rPr>
          </w:rPrChange>
        </w:rPr>
      </w:pPr>
      <w:r>
        <w:rPr>
          <w:rFonts w:hint="eastAsia" w:ascii="方正楷体简体" w:hAnsi="仿宋" w:eastAsia="方正楷体简体"/>
          <w:b/>
          <w:bCs/>
          <w:sz w:val="32"/>
          <w:szCs w:val="32"/>
          <w:rPrChange w:id="38" w:author="Administrator" w:date="2017-03-13T14:39:39Z">
            <w:rPr>
              <w:rFonts w:hint="eastAsia" w:ascii="方正楷体简体" w:hAnsi="仿宋" w:eastAsia="方正楷体简体"/>
              <w:sz w:val="32"/>
              <w:szCs w:val="32"/>
            </w:rPr>
          </w:rPrChange>
        </w:rPr>
        <w:t>案情简介</w:t>
      </w:r>
    </w:p>
    <w:p>
      <w:pPr>
        <w:ind w:firstLine="640" w:firstLineChars="200"/>
        <w:rPr>
          <w:rFonts w:ascii="仿宋_GB2312" w:hAnsi="仿宋" w:eastAsia="仿宋_GB2312"/>
          <w:b/>
          <w:bCs/>
          <w:sz w:val="32"/>
          <w:szCs w:val="32"/>
          <w:rPrChange w:id="39" w:author="Administrator" w:date="2017-03-13T14:39:39Z">
            <w:rPr>
              <w:rFonts w:ascii="仿宋_GB2312" w:hAnsi="仿宋" w:eastAsia="仿宋_GB2312"/>
              <w:sz w:val="32"/>
              <w:szCs w:val="32"/>
            </w:rPr>
          </w:rPrChange>
        </w:rPr>
      </w:pPr>
      <w:r>
        <w:rPr>
          <w:rFonts w:hint="eastAsia" w:ascii="仿宋_GB2312" w:hAnsi="仿宋" w:eastAsia="仿宋_GB2312"/>
          <w:b/>
          <w:bCs/>
          <w:sz w:val="32"/>
          <w:szCs w:val="32"/>
          <w:rPrChange w:id="40" w:author="Administrator" w:date="2017-03-13T14:39:39Z">
            <w:rPr>
              <w:rFonts w:hint="eastAsia" w:ascii="仿宋_GB2312" w:hAnsi="仿宋" w:eastAsia="仿宋_GB2312"/>
              <w:sz w:val="32"/>
              <w:szCs w:val="32"/>
            </w:rPr>
          </w:rPrChange>
        </w:rPr>
        <w:t>某投资咨询公司客户汪某向仲调中心投诉：称其于2016年11月购买了某投资咨询公司的荐股服务，并缴纳12800元的荐股服务费，服务期限是半年。汪某通过实际操作发现该公司宣传承诺的收益与实际收益不符，该公司推荐的股票未涨反跌，要求退还荐股服务费12800元，但咨询公司以未签订正式荐股服务合同为由拒绝退款，汪某与该公司多次协商未果后提出投诉。</w:t>
      </w:r>
    </w:p>
    <w:p>
      <w:pPr>
        <w:rPr>
          <w:rFonts w:ascii="方正楷体简体" w:hAnsi="仿宋" w:eastAsia="方正楷体简体"/>
          <w:b/>
          <w:bCs/>
          <w:sz w:val="32"/>
          <w:szCs w:val="32"/>
          <w:rPrChange w:id="41" w:author="Administrator" w:date="2017-03-13T14:39:39Z">
            <w:rPr>
              <w:rFonts w:ascii="方正楷体简体" w:hAnsi="仿宋" w:eastAsia="方正楷体简体"/>
              <w:sz w:val="32"/>
              <w:szCs w:val="32"/>
            </w:rPr>
          </w:rPrChange>
        </w:rPr>
      </w:pPr>
      <w:r>
        <w:rPr>
          <w:rFonts w:hint="eastAsia" w:ascii="方正楷体简体" w:hAnsi="仿宋" w:eastAsia="方正楷体简体"/>
          <w:b/>
          <w:bCs/>
          <w:sz w:val="32"/>
          <w:szCs w:val="32"/>
          <w:rPrChange w:id="42" w:author="Administrator" w:date="2017-03-13T14:39:39Z">
            <w:rPr>
              <w:rFonts w:hint="eastAsia" w:ascii="方正楷体简体" w:hAnsi="仿宋" w:eastAsia="方正楷体简体"/>
              <w:sz w:val="32"/>
              <w:szCs w:val="32"/>
            </w:rPr>
          </w:rPrChange>
        </w:rPr>
        <w:t>调解结果</w:t>
      </w:r>
    </w:p>
    <w:p>
      <w:pPr>
        <w:ind w:firstLine="640" w:firstLineChars="200"/>
        <w:rPr>
          <w:rFonts w:ascii="仿宋_GB2312" w:hAnsi="仿宋" w:eastAsia="仿宋_GB2312"/>
          <w:b/>
          <w:bCs/>
          <w:sz w:val="32"/>
          <w:szCs w:val="32"/>
          <w:rPrChange w:id="43" w:author="Administrator" w:date="2017-03-13T14:39:39Z">
            <w:rPr>
              <w:rFonts w:ascii="仿宋_GB2312" w:hAnsi="仿宋" w:eastAsia="仿宋_GB2312"/>
              <w:sz w:val="32"/>
              <w:szCs w:val="32"/>
            </w:rPr>
          </w:rPrChange>
        </w:rPr>
      </w:pPr>
      <w:r>
        <w:rPr>
          <w:rFonts w:hint="eastAsia" w:ascii="仿宋_GB2312" w:hAnsi="仿宋" w:eastAsia="仿宋_GB2312"/>
          <w:b/>
          <w:bCs/>
          <w:sz w:val="32"/>
          <w:szCs w:val="32"/>
          <w:rPrChange w:id="44" w:author="Administrator" w:date="2017-03-13T14:39:39Z">
            <w:rPr>
              <w:rFonts w:hint="eastAsia" w:ascii="仿宋_GB2312" w:hAnsi="仿宋" w:eastAsia="仿宋_GB2312"/>
              <w:sz w:val="32"/>
              <w:szCs w:val="32"/>
            </w:rPr>
          </w:rPrChange>
        </w:rPr>
        <w:t>仲调中心调解人员受理后及时与咨询公司进行沟通了解情况，咨询公司承认客户所诉情况基本属实，但强调市场变化是客观存在。通过调解人员与双方多次沟通，特别是以此案例帮助咨询公司分析长远发展利弊，指出其管理不规范问题，同时转达投资者诉求的强烈反应后，最终该咨询公司主动与汪某取得联系，全额退还荐股服务费，取得汪某谅解，双方达成和解。</w:t>
      </w:r>
    </w:p>
    <w:p>
      <w:pPr>
        <w:rPr>
          <w:rFonts w:ascii="方正楷体简体" w:hAnsi="仿宋" w:eastAsia="方正楷体简体"/>
          <w:b/>
          <w:bCs/>
          <w:sz w:val="32"/>
          <w:szCs w:val="32"/>
          <w:rPrChange w:id="45" w:author="Administrator" w:date="2017-03-13T14:39:39Z">
            <w:rPr>
              <w:rFonts w:ascii="方正楷体简体" w:hAnsi="仿宋" w:eastAsia="方正楷体简体"/>
              <w:sz w:val="32"/>
              <w:szCs w:val="32"/>
            </w:rPr>
          </w:rPrChange>
        </w:rPr>
      </w:pPr>
      <w:r>
        <w:rPr>
          <w:rFonts w:hint="eastAsia" w:ascii="方正楷体简体" w:hAnsi="仿宋" w:eastAsia="方正楷体简体"/>
          <w:b/>
          <w:bCs/>
          <w:sz w:val="32"/>
          <w:szCs w:val="32"/>
          <w:rPrChange w:id="46" w:author="Administrator" w:date="2017-03-13T14:39:39Z">
            <w:rPr>
              <w:rFonts w:hint="eastAsia" w:ascii="方正楷体简体" w:hAnsi="仿宋" w:eastAsia="方正楷体简体"/>
              <w:sz w:val="32"/>
              <w:szCs w:val="32"/>
            </w:rPr>
          </w:rPrChange>
        </w:rPr>
        <w:t>案例评析</w:t>
      </w:r>
    </w:p>
    <w:p>
      <w:pPr>
        <w:ind w:firstLine="640" w:firstLineChars="200"/>
        <w:rPr>
          <w:rFonts w:ascii="仿宋_GB2312" w:hAnsi="仿宋" w:eastAsia="仿宋_GB2312"/>
          <w:b/>
          <w:bCs/>
          <w:sz w:val="32"/>
          <w:szCs w:val="32"/>
          <w:rPrChange w:id="47" w:author="Administrator" w:date="2017-03-13T14:39:39Z">
            <w:rPr>
              <w:rFonts w:ascii="仿宋_GB2312" w:hAnsi="仿宋" w:eastAsia="仿宋_GB2312"/>
              <w:sz w:val="32"/>
              <w:szCs w:val="32"/>
            </w:rPr>
          </w:rPrChange>
        </w:rPr>
      </w:pPr>
      <w:r>
        <w:rPr>
          <w:rFonts w:hint="eastAsia" w:ascii="仿宋_GB2312" w:hAnsi="仿宋" w:eastAsia="仿宋_GB2312"/>
          <w:b/>
          <w:bCs/>
          <w:sz w:val="32"/>
          <w:szCs w:val="32"/>
          <w:rPrChange w:id="48" w:author="Administrator" w:date="2017-03-13T14:39:39Z">
            <w:rPr>
              <w:rFonts w:hint="eastAsia" w:ascii="仿宋_GB2312" w:hAnsi="仿宋" w:eastAsia="仿宋_GB2312"/>
              <w:sz w:val="32"/>
              <w:szCs w:val="32"/>
            </w:rPr>
          </w:rPrChange>
        </w:rPr>
        <w:t>本案，突出反映了证券投资咨询公司在合规经营中存在的问题。证券投资咨询公司要合规开展业务，注重培养员工的合规意识，加强员工的专业素质，，严格执行《证券期货投资咨询管理暂行办法》及证监会开展证券投资咨询业务的各项规定，坚决杜绝承诺受益、夸大预期收益率等情形，以保障咨询公司持续健康发展。</w:t>
      </w:r>
    </w:p>
    <w:p>
      <w:pPr>
        <w:ind w:firstLine="640" w:firstLineChars="200"/>
        <w:rPr>
          <w:rFonts w:ascii="仿宋_GB2312" w:hAnsi="仿宋" w:eastAsia="仿宋_GB2312"/>
          <w:b/>
          <w:bCs/>
          <w:sz w:val="32"/>
          <w:szCs w:val="32"/>
          <w:rPrChange w:id="49" w:author="Administrator" w:date="2017-03-13T14:39:39Z">
            <w:rPr>
              <w:rFonts w:ascii="仿宋_GB2312" w:hAnsi="仿宋" w:eastAsia="仿宋_GB2312"/>
              <w:sz w:val="32"/>
              <w:szCs w:val="32"/>
            </w:rPr>
          </w:rPrChange>
        </w:rPr>
      </w:pPr>
      <w:r>
        <w:rPr>
          <w:rFonts w:hint="eastAsia" w:ascii="仿宋_GB2312" w:hAnsi="仿宋" w:eastAsia="仿宋_GB2312"/>
          <w:b/>
          <w:bCs/>
          <w:sz w:val="32"/>
          <w:szCs w:val="32"/>
          <w:rPrChange w:id="50" w:author="Administrator" w:date="2017-03-13T14:39:39Z">
            <w:rPr>
              <w:rFonts w:hint="eastAsia" w:ascii="仿宋_GB2312" w:hAnsi="仿宋" w:eastAsia="仿宋_GB2312"/>
              <w:sz w:val="32"/>
              <w:szCs w:val="32"/>
            </w:rPr>
          </w:rPrChange>
        </w:rPr>
        <w:t>受托咨询公司提供咨询业务的投资者，应当加强风险意识，树立正确的投资理念。在投资前，不应仅仅关注销售者介绍的产品受益率，而应当对投资产品的风险性、合规性、合理性有全面综合的判断，对有承诺受益、预期超高收益率情形的投资产品要提高警惕，避免受到伤害。</w:t>
      </w:r>
    </w:p>
    <w:p>
      <w:pPr>
        <w:ind w:firstLine="540"/>
        <w:rPr>
          <w:rFonts w:ascii="仿宋_GB2312" w:hAnsi="仿宋" w:eastAsia="仿宋_GB2312"/>
          <w:b/>
          <w:bCs/>
          <w:sz w:val="32"/>
          <w:szCs w:val="32"/>
          <w:rPrChange w:id="51" w:author="Administrator" w:date="2017-03-13T14:39:39Z">
            <w:rPr>
              <w:rFonts w:ascii="仿宋_GB2312" w:hAnsi="仿宋" w:eastAsia="仿宋_GB2312"/>
              <w:sz w:val="32"/>
              <w:szCs w:val="32"/>
            </w:rPr>
          </w:rPrChange>
        </w:rPr>
      </w:pPr>
    </w:p>
    <w:p>
      <w:pPr>
        <w:rPr>
          <w:rFonts w:ascii="仿宋_GB2312" w:hAnsi="仿宋" w:eastAsia="仿宋_GB2312"/>
          <w:b/>
          <w:bCs/>
          <w:sz w:val="32"/>
          <w:szCs w:val="32"/>
          <w:rPrChange w:id="52" w:author="Administrator" w:date="2017-03-13T14:39:39Z">
            <w:rPr>
              <w:rFonts w:ascii="仿宋_GB2312" w:hAnsi="仿宋" w:eastAsia="仿宋_GB2312"/>
              <w:sz w:val="32"/>
              <w:szCs w:val="32"/>
            </w:rPr>
          </w:rPrChange>
        </w:rPr>
      </w:pPr>
    </w:p>
    <w:p>
      <w:pPr>
        <w:ind w:firstLine="2240" w:firstLineChars="700"/>
        <w:rPr>
          <w:rFonts w:ascii="仿宋_GB2312" w:hAnsi="仿宋" w:eastAsia="仿宋_GB2312"/>
          <w:b/>
          <w:bCs/>
          <w:sz w:val="32"/>
          <w:szCs w:val="32"/>
          <w:rPrChange w:id="53" w:author="Administrator" w:date="2017-03-13T14:39:39Z">
            <w:rPr>
              <w:rFonts w:ascii="仿宋_GB2312" w:hAnsi="仿宋" w:eastAsia="仿宋_GB2312"/>
              <w:sz w:val="32"/>
              <w:szCs w:val="32"/>
            </w:rPr>
          </w:rPrChange>
        </w:rPr>
      </w:pPr>
      <w:r>
        <w:rPr>
          <w:rFonts w:hint="eastAsia" w:ascii="仿宋_GB2312" w:hAnsi="仿宋" w:eastAsia="仿宋_GB2312"/>
          <w:b/>
          <w:bCs/>
          <w:sz w:val="32"/>
          <w:szCs w:val="32"/>
          <w:rPrChange w:id="54" w:author="Administrator" w:date="2017-03-13T14:39:39Z">
            <w:rPr>
              <w:rFonts w:hint="eastAsia" w:ascii="仿宋_GB2312" w:hAnsi="仿宋" w:eastAsia="仿宋_GB2312"/>
              <w:sz w:val="32"/>
              <w:szCs w:val="32"/>
            </w:rPr>
          </w:rPrChange>
        </w:rPr>
        <w:t>黑龙江证券期货纠纷仲裁调解中心</w:t>
      </w:r>
    </w:p>
    <w:p>
      <w:pPr>
        <w:ind w:firstLine="2880" w:firstLineChars="900"/>
        <w:rPr>
          <w:rFonts w:ascii="仿宋_GB2312" w:hAnsi="仿宋" w:eastAsia="仿宋_GB2312"/>
          <w:b/>
          <w:bCs/>
          <w:sz w:val="32"/>
          <w:szCs w:val="32"/>
          <w:rPrChange w:id="55" w:author="Administrator" w:date="2017-03-13T14:39:39Z">
            <w:rPr>
              <w:rFonts w:ascii="仿宋_GB2312" w:hAnsi="仿宋" w:eastAsia="仿宋_GB2312"/>
              <w:sz w:val="32"/>
              <w:szCs w:val="32"/>
            </w:rPr>
          </w:rPrChange>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Palatino Linotype"/>
    <w:panose1 w:val="02040503050406030204"/>
    <w:charset w:val="00"/>
    <w:family w:val="roman"/>
    <w:pitch w:val="default"/>
    <w:sig w:usb0="00000000" w:usb1="00000000" w:usb2="00000000" w:usb3="00000000" w:csb0="0000019F" w:csb1="00000000"/>
  </w:font>
  <w:font w:name="Calibri">
    <w:altName w:val="Lucida Sans Unicode"/>
    <w:panose1 w:val="020F0502020204030204"/>
    <w:charset w:val="00"/>
    <w:family w:val="swiss"/>
    <w:pitch w:val="default"/>
    <w:sig w:usb0="00000000" w:usb1="00000000" w:usb2="00000001" w:usb3="00000000" w:csb0="0000019F" w:csb1="00000000"/>
  </w:font>
  <w:font w:name="Palatino Linotype">
    <w:panose1 w:val="02040502050505030304"/>
    <w:charset w:val="00"/>
    <w:family w:val="auto"/>
    <w:pitch w:val="default"/>
    <w:sig w:usb0="E0000387" w:usb1="40000013" w:usb2="00000000" w:usb3="00000000" w:csb0="2000019F" w:csb1="00000000"/>
  </w:font>
  <w:font w:name="Lucida Sans Unicode">
    <w:panose1 w:val="020B0602030504020204"/>
    <w:charset w:val="00"/>
    <w:family w:val="auto"/>
    <w:pitch w:val="default"/>
    <w:sig w:usb0="80001AFF" w:usb1="0000396B" w:usb2="00000000" w:usb3="00000000" w:csb0="0000003F" w:csb1="D7F70000"/>
  </w:font>
  <w:font w:name="等线">
    <w:altName w:val="宋体"/>
    <w:panose1 w:val="00000000000000000000"/>
    <w:charset w:val="86"/>
    <w:family w:val="auto"/>
    <w:pitch w:val="default"/>
    <w:sig w:usb0="00000000" w:usb1="00000000" w:usb2="00000016" w:usb3="00000000" w:csb0="0004000F" w:csb1="00000000"/>
  </w:font>
  <w:font w:name="方正大标宋简体">
    <w:altName w:val="宋体"/>
    <w:panose1 w:val="02010601030101010101"/>
    <w:charset w:val="86"/>
    <w:family w:val="auto"/>
    <w:pitch w:val="default"/>
    <w:sig w:usb0="00000000" w:usb1="00000000" w:usb2="00000010" w:usb3="00000000" w:csb0="00040000" w:csb1="00000000"/>
  </w:font>
  <w:font w:name="仿宋_GB2312">
    <w:altName w:val="宋体"/>
    <w:panose1 w:val="02010609030101010101"/>
    <w:charset w:val="86"/>
    <w:family w:val="modern"/>
    <w:pitch w:val="default"/>
    <w:sig w:usb0="00000000" w:usb1="00000000" w:usb2="00000010" w:usb3="00000000" w:csb0="00040000" w:csb1="00000000"/>
  </w:font>
  <w:font w:name="仿宋">
    <w:altName w:val="宋体"/>
    <w:panose1 w:val="00000000000000000000"/>
    <w:charset w:val="86"/>
    <w:family w:val="modern"/>
    <w:pitch w:val="default"/>
    <w:sig w:usb0="00000000" w:usb1="00000000" w:usb2="00000016" w:usb3="00000000" w:csb0="00040001" w:csb1="00000000"/>
  </w:font>
  <w:font w:name="方正楷体简体">
    <w:altName w:val="宋体"/>
    <w:panose1 w:val="02010601030101010101"/>
    <w:charset w:val="86"/>
    <w:family w:val="auto"/>
    <w:pitch w:val="default"/>
    <w:sig w:usb0="00000000" w:usb1="00000000" w:usb2="00000010" w:usb3="00000000" w:csb0="00040000" w:csb1="00000000"/>
  </w:font>
  <w:font w:name="等线 Light">
    <w:altName w:val="宋体"/>
    <w:panose1 w:val="00000000000000000000"/>
    <w:charset w:val="86"/>
    <w:family w:val="auto"/>
    <w:pitch w:val="default"/>
    <w:sig w:usb0="00000000" w:usb1="00000000" w:usb2="00000016" w:usb3="00000000" w:csb0="0004000F" w:csb1="00000000"/>
  </w:font>
  <w:font w:name="等线">
    <w:altName w:val="宋体"/>
    <w:panose1 w:val="00000000000000000000"/>
    <w:charset w:val="86"/>
    <w:family w:val="auto"/>
    <w:pitch w:val="default"/>
    <w:sig w:usb0="00000000" w:usb1="00000000" w:usb2="00000000" w:usb3="00000000" w:csb0="00000000" w:csb1="00000000"/>
  </w:font>
  <w:font w:name="Courier New">
    <w:panose1 w:val="02070309020205020404"/>
    <w:charset w:val="00"/>
    <w:family w:val="auto"/>
    <w:pitch w:val="default"/>
    <w:sig w:usb0="00007A87" w:usb1="80000000" w:usb2="00000008" w:usb3="00000000" w:csb0="400001FF" w:csb1="FFFF0000"/>
  </w:font>
  <w:font w:name="等线">
    <w:altName w:val="Courier New"/>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474E"/>
    <w:rsid w:val="000034C1"/>
    <w:rsid w:val="00005CF4"/>
    <w:rsid w:val="00044CB6"/>
    <w:rsid w:val="00056CAC"/>
    <w:rsid w:val="0012119D"/>
    <w:rsid w:val="00124E4F"/>
    <w:rsid w:val="00130303"/>
    <w:rsid w:val="00137E40"/>
    <w:rsid w:val="00140560"/>
    <w:rsid w:val="001438B5"/>
    <w:rsid w:val="001548C7"/>
    <w:rsid w:val="00172CD3"/>
    <w:rsid w:val="001955C6"/>
    <w:rsid w:val="001D1DEC"/>
    <w:rsid w:val="001F1C77"/>
    <w:rsid w:val="00224EFA"/>
    <w:rsid w:val="00225FB9"/>
    <w:rsid w:val="00226759"/>
    <w:rsid w:val="002377FA"/>
    <w:rsid w:val="00262C41"/>
    <w:rsid w:val="00266E7A"/>
    <w:rsid w:val="002723EC"/>
    <w:rsid w:val="002738A3"/>
    <w:rsid w:val="002757FC"/>
    <w:rsid w:val="002A2F6B"/>
    <w:rsid w:val="002B173F"/>
    <w:rsid w:val="002B6B0F"/>
    <w:rsid w:val="002B758B"/>
    <w:rsid w:val="002E7967"/>
    <w:rsid w:val="00304940"/>
    <w:rsid w:val="0031109F"/>
    <w:rsid w:val="00316B32"/>
    <w:rsid w:val="00323751"/>
    <w:rsid w:val="0032782D"/>
    <w:rsid w:val="00337F22"/>
    <w:rsid w:val="003433CF"/>
    <w:rsid w:val="003A4DA6"/>
    <w:rsid w:val="003C4A75"/>
    <w:rsid w:val="003E0FB1"/>
    <w:rsid w:val="003F1D59"/>
    <w:rsid w:val="003F2042"/>
    <w:rsid w:val="003F29BF"/>
    <w:rsid w:val="003F573D"/>
    <w:rsid w:val="00436371"/>
    <w:rsid w:val="00436601"/>
    <w:rsid w:val="00450BC7"/>
    <w:rsid w:val="00466FD8"/>
    <w:rsid w:val="00471487"/>
    <w:rsid w:val="0049644E"/>
    <w:rsid w:val="004A0501"/>
    <w:rsid w:val="004A6147"/>
    <w:rsid w:val="004B147D"/>
    <w:rsid w:val="004C07B3"/>
    <w:rsid w:val="004C7D67"/>
    <w:rsid w:val="004D0C6C"/>
    <w:rsid w:val="004D1561"/>
    <w:rsid w:val="004D49F0"/>
    <w:rsid w:val="004F2F7C"/>
    <w:rsid w:val="00501154"/>
    <w:rsid w:val="005136B2"/>
    <w:rsid w:val="005177AF"/>
    <w:rsid w:val="00523A21"/>
    <w:rsid w:val="0055475F"/>
    <w:rsid w:val="005935D2"/>
    <w:rsid w:val="005A2E5F"/>
    <w:rsid w:val="005A414E"/>
    <w:rsid w:val="005E2774"/>
    <w:rsid w:val="005E41EA"/>
    <w:rsid w:val="00614D01"/>
    <w:rsid w:val="00621928"/>
    <w:rsid w:val="00637933"/>
    <w:rsid w:val="006573BB"/>
    <w:rsid w:val="00667A0D"/>
    <w:rsid w:val="00680835"/>
    <w:rsid w:val="00684DCC"/>
    <w:rsid w:val="0069253C"/>
    <w:rsid w:val="006C0360"/>
    <w:rsid w:val="006D367E"/>
    <w:rsid w:val="006E0192"/>
    <w:rsid w:val="006F3D65"/>
    <w:rsid w:val="00713545"/>
    <w:rsid w:val="00742051"/>
    <w:rsid w:val="007452DB"/>
    <w:rsid w:val="00754374"/>
    <w:rsid w:val="00766098"/>
    <w:rsid w:val="00777ABA"/>
    <w:rsid w:val="00786F48"/>
    <w:rsid w:val="007B2B24"/>
    <w:rsid w:val="007C273C"/>
    <w:rsid w:val="007D2D0F"/>
    <w:rsid w:val="007D5081"/>
    <w:rsid w:val="007E6C40"/>
    <w:rsid w:val="007F0EC0"/>
    <w:rsid w:val="008258A9"/>
    <w:rsid w:val="008476D3"/>
    <w:rsid w:val="00854B57"/>
    <w:rsid w:val="008A74BD"/>
    <w:rsid w:val="008D2934"/>
    <w:rsid w:val="008D6176"/>
    <w:rsid w:val="008E7DB9"/>
    <w:rsid w:val="00915383"/>
    <w:rsid w:val="00920CCB"/>
    <w:rsid w:val="00927640"/>
    <w:rsid w:val="009551FD"/>
    <w:rsid w:val="00973582"/>
    <w:rsid w:val="00990F64"/>
    <w:rsid w:val="00994E75"/>
    <w:rsid w:val="009E02E7"/>
    <w:rsid w:val="009F16FA"/>
    <w:rsid w:val="009F2C5F"/>
    <w:rsid w:val="00A031E6"/>
    <w:rsid w:val="00A16B0A"/>
    <w:rsid w:val="00A34A35"/>
    <w:rsid w:val="00A368EB"/>
    <w:rsid w:val="00A61C05"/>
    <w:rsid w:val="00A632E0"/>
    <w:rsid w:val="00A87C7E"/>
    <w:rsid w:val="00AA4D47"/>
    <w:rsid w:val="00AA5884"/>
    <w:rsid w:val="00AB3420"/>
    <w:rsid w:val="00AC3E26"/>
    <w:rsid w:val="00AC659D"/>
    <w:rsid w:val="00AD0277"/>
    <w:rsid w:val="00AD3703"/>
    <w:rsid w:val="00AE0A59"/>
    <w:rsid w:val="00AF5B17"/>
    <w:rsid w:val="00B01E49"/>
    <w:rsid w:val="00B02514"/>
    <w:rsid w:val="00B04801"/>
    <w:rsid w:val="00B272B7"/>
    <w:rsid w:val="00B423D6"/>
    <w:rsid w:val="00B769B4"/>
    <w:rsid w:val="00B815DB"/>
    <w:rsid w:val="00B83B68"/>
    <w:rsid w:val="00BA0CCF"/>
    <w:rsid w:val="00BC1E7C"/>
    <w:rsid w:val="00BC33EF"/>
    <w:rsid w:val="00BC5808"/>
    <w:rsid w:val="00C07524"/>
    <w:rsid w:val="00C1563F"/>
    <w:rsid w:val="00C23F19"/>
    <w:rsid w:val="00C4419E"/>
    <w:rsid w:val="00CA0B7E"/>
    <w:rsid w:val="00CA76A1"/>
    <w:rsid w:val="00CB25EE"/>
    <w:rsid w:val="00CB5701"/>
    <w:rsid w:val="00CC474E"/>
    <w:rsid w:val="00CE594B"/>
    <w:rsid w:val="00CF10C3"/>
    <w:rsid w:val="00CF6A1E"/>
    <w:rsid w:val="00D041E8"/>
    <w:rsid w:val="00D160F4"/>
    <w:rsid w:val="00D26282"/>
    <w:rsid w:val="00D710D3"/>
    <w:rsid w:val="00D7375F"/>
    <w:rsid w:val="00D73D5F"/>
    <w:rsid w:val="00D87C95"/>
    <w:rsid w:val="00D9239F"/>
    <w:rsid w:val="00DA6886"/>
    <w:rsid w:val="00DB2464"/>
    <w:rsid w:val="00DB486F"/>
    <w:rsid w:val="00DE1D51"/>
    <w:rsid w:val="00DE2222"/>
    <w:rsid w:val="00DE5FE8"/>
    <w:rsid w:val="00DF4137"/>
    <w:rsid w:val="00E1738A"/>
    <w:rsid w:val="00E23D92"/>
    <w:rsid w:val="00E2608B"/>
    <w:rsid w:val="00E332E0"/>
    <w:rsid w:val="00E34CFD"/>
    <w:rsid w:val="00E40199"/>
    <w:rsid w:val="00E50CDC"/>
    <w:rsid w:val="00E52AB7"/>
    <w:rsid w:val="00E86152"/>
    <w:rsid w:val="00E86296"/>
    <w:rsid w:val="00E90BA7"/>
    <w:rsid w:val="00E93F6C"/>
    <w:rsid w:val="00EA01BA"/>
    <w:rsid w:val="00EE46D6"/>
    <w:rsid w:val="00EF0498"/>
    <w:rsid w:val="00F06975"/>
    <w:rsid w:val="00F13024"/>
    <w:rsid w:val="00F14650"/>
    <w:rsid w:val="00F45F18"/>
    <w:rsid w:val="00F46859"/>
    <w:rsid w:val="00F54D38"/>
    <w:rsid w:val="00F55E23"/>
    <w:rsid w:val="00F64393"/>
    <w:rsid w:val="00FB181A"/>
    <w:rsid w:val="00FC127F"/>
    <w:rsid w:val="00FC39DB"/>
    <w:rsid w:val="00FC5A56"/>
    <w:rsid w:val="00FC688E"/>
    <w:rsid w:val="00FC68ED"/>
    <w:rsid w:val="00FD3E0C"/>
    <w:rsid w:val="00FD6FC0"/>
    <w:rsid w:val="00FD7AEB"/>
    <w:rsid w:val="00FD7E1D"/>
    <w:rsid w:val="00FE523A"/>
    <w:rsid w:val="00FF7975"/>
    <w:rsid w:val="5A706060"/>
  </w:rsids>
  <m:mathPr>
    <m:lMargin m:val="0"/>
    <m:mathFont m:val="Cambria Math"/>
    <m:rMargin m:val="0"/>
    <m:wrapIndent m:val="1440"/>
    <m:brkBin m:val="before"/>
    <m:brkBinSub m:val="--"/>
    <m:defJc m:val="centerGroup"/>
    <m:intLim m:val="subSup"/>
    <m:naryLim m:val="undOvr"/>
    <m:smallFrac m:val=""/>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9"/>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5"/>
    <w:link w:val="4"/>
    <w:qFormat/>
    <w:uiPriority w:val="99"/>
    <w:rPr>
      <w:sz w:val="18"/>
      <w:szCs w:val="18"/>
    </w:rPr>
  </w:style>
  <w:style w:type="character" w:customStyle="1" w:styleId="8">
    <w:name w:val="页脚 Char"/>
    <w:basedOn w:val="5"/>
    <w:link w:val="3"/>
    <w:qFormat/>
    <w:uiPriority w:val="99"/>
    <w:rPr>
      <w:sz w:val="18"/>
      <w:szCs w:val="18"/>
    </w:rPr>
  </w:style>
  <w:style w:type="character" w:customStyle="1" w:styleId="9">
    <w:name w:val="批注框文本 Char"/>
    <w:basedOn w:val="5"/>
    <w:link w:val="2"/>
    <w:semiHidden/>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355</Words>
  <Characters>2026</Characters>
  <Lines>16</Lines>
  <Paragraphs>4</Paragraphs>
  <ScaleCrop>false</ScaleCrop>
  <LinksUpToDate>false</LinksUpToDate>
  <CharactersWithSpaces>2377</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2017-01-19T00:47:00Z</dcterms:created>
  <dc:creator>hp</dc:creator>
  <cp:lastModifiedBy>Administrator</cp:lastModifiedBy>
  <dcterms:modified xsi:type="dcterms:W3CDTF">2017-03-13T06:39:46Z</dcterms:modified>
  <cp:revision>195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