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BF5" w:rsidRPr="00CA6BF5" w:rsidRDefault="00CA6BF5" w:rsidP="00CA6BF5">
      <w:pPr>
        <w:widowControl/>
        <w:shd w:val="clear" w:color="auto" w:fill="FFFFFF"/>
        <w:spacing w:line="475" w:lineRule="atLeast"/>
        <w:jc w:val="center"/>
        <w:rPr>
          <w:rFonts w:ascii="微软雅黑" w:eastAsia="微软雅黑" w:hAnsi="微软雅黑" w:cs="宋体"/>
          <w:b/>
          <w:bCs/>
          <w:color w:val="0C5CB1"/>
          <w:kern w:val="0"/>
          <w:sz w:val="27"/>
          <w:szCs w:val="27"/>
        </w:rPr>
      </w:pPr>
      <w:r w:rsidRPr="00CA6BF5">
        <w:rPr>
          <w:rFonts w:ascii="微软雅黑" w:eastAsia="微软雅黑" w:hAnsi="微软雅黑" w:cs="宋体" w:hint="eastAsia"/>
          <w:b/>
          <w:bCs/>
          <w:color w:val="0C5CB1"/>
          <w:kern w:val="0"/>
          <w:sz w:val="27"/>
          <w:szCs w:val="27"/>
        </w:rPr>
        <w:t>证监会发布《证券期货投资者适当性管理办法》</w:t>
      </w:r>
    </w:p>
    <w:p w:rsidR="00CA6BF5" w:rsidRPr="00EC0CCA" w:rsidRDefault="00CA6BF5" w:rsidP="00CA6BF5">
      <w:pPr>
        <w:widowControl/>
        <w:shd w:val="clear" w:color="auto" w:fill="FFFFFF"/>
        <w:spacing w:line="480" w:lineRule="auto"/>
        <w:jc w:val="center"/>
        <w:rPr>
          <w:rFonts w:ascii="inherit" w:eastAsia="宋体" w:hAnsi="inherit" w:cs="宋体" w:hint="eastAsia"/>
          <w:color w:val="888888"/>
          <w:kern w:val="0"/>
          <w:sz w:val="16"/>
          <w:szCs w:val="16"/>
        </w:rPr>
      </w:pPr>
      <w:r w:rsidRPr="00CA6BF5">
        <w:rPr>
          <w:rFonts w:ascii="inherit" w:eastAsia="宋体" w:hAnsi="inherit" w:cs="宋体"/>
          <w:color w:val="888888"/>
          <w:kern w:val="0"/>
          <w:sz w:val="16"/>
          <w:szCs w:val="16"/>
        </w:rPr>
        <w:t>中国证监会</w:t>
      </w:r>
      <w:r w:rsidRPr="00CA6BF5">
        <w:rPr>
          <w:rFonts w:ascii="inherit" w:eastAsia="宋体" w:hAnsi="inherit" w:cs="宋体"/>
          <w:color w:val="888888"/>
          <w:kern w:val="0"/>
          <w:sz w:val="16"/>
          <w:szCs w:val="16"/>
        </w:rPr>
        <w:t xml:space="preserve"> www.csrc.gov.cn </w:t>
      </w:r>
      <w:r w:rsidRPr="00CA6BF5">
        <w:rPr>
          <w:rFonts w:ascii="inherit" w:eastAsia="宋体" w:hAnsi="inherit" w:cs="宋体"/>
          <w:color w:val="888888"/>
          <w:kern w:val="0"/>
          <w:sz w:val="16"/>
          <w:szCs w:val="16"/>
        </w:rPr>
        <w:t>时间：</w:t>
      </w:r>
      <w:r w:rsidRPr="00CA6BF5">
        <w:rPr>
          <w:rFonts w:ascii="inherit" w:eastAsia="宋体" w:hAnsi="inherit" w:cs="宋体"/>
          <w:color w:val="888888"/>
          <w:kern w:val="0"/>
          <w:sz w:val="16"/>
          <w:szCs w:val="16"/>
        </w:rPr>
        <w:t xml:space="preserve">2016-12-16 </w:t>
      </w:r>
    </w:p>
    <w:p w:rsidR="00CA6BF5" w:rsidRPr="00CA6BF5" w:rsidRDefault="00CA6BF5" w:rsidP="00CA6BF5">
      <w:pPr>
        <w:widowControl/>
        <w:shd w:val="clear" w:color="auto" w:fill="FFFFFF"/>
        <w:spacing w:after="82"/>
        <w:jc w:val="left"/>
        <w:rPr>
          <w:rFonts w:ascii="宋体" w:eastAsia="宋体" w:hAnsi="宋体" w:cs="宋体"/>
          <w:color w:val="333333"/>
          <w:kern w:val="0"/>
          <w:szCs w:val="21"/>
        </w:rPr>
      </w:pPr>
      <w:r w:rsidRPr="00CA6BF5">
        <w:rPr>
          <w:rFonts w:ascii="宋体" w:eastAsia="宋体" w:hAnsi="宋体" w:cs="宋体" w:hint="eastAsia"/>
          <w:color w:val="333333"/>
          <w:kern w:val="0"/>
          <w:szCs w:val="21"/>
        </w:rPr>
        <w:t xml:space="preserve">　　近日，证监会发布《证券期货投资者适当性管理办法》（以下简称《办法》），自2017年7月1日起施行，同时发布《关于实施&lt;证券期货投资者适当性管理办法&gt;的规定》，自发布之日起施行。制定《办法》是落</w:t>
      </w:r>
      <w:proofErr w:type="gramStart"/>
      <w:r w:rsidRPr="00CA6BF5">
        <w:rPr>
          <w:rFonts w:ascii="宋体" w:eastAsia="宋体" w:hAnsi="宋体" w:cs="宋体" w:hint="eastAsia"/>
          <w:color w:val="333333"/>
          <w:kern w:val="0"/>
          <w:szCs w:val="21"/>
        </w:rPr>
        <w:t>实习近</w:t>
      </w:r>
      <w:proofErr w:type="gramEnd"/>
      <w:r w:rsidRPr="00CA6BF5">
        <w:rPr>
          <w:rFonts w:ascii="宋体" w:eastAsia="宋体" w:hAnsi="宋体" w:cs="宋体" w:hint="eastAsia"/>
          <w:color w:val="333333"/>
          <w:kern w:val="0"/>
          <w:szCs w:val="21"/>
        </w:rPr>
        <w:t>平同志“加快形成融资功能完备，基础制度扎实，市场监管有效，投资者合法权益得到充分保护的股票市场”重要指示精神和国务院有关文件部署，以及“依法监管、从严监管、全面监管”工作要求的重要举措，标志着我国资本市场投资者合法权益保护的基础制度建设又向前迈进了重要一步。</w:t>
      </w:r>
    </w:p>
    <w:p w:rsidR="00CA6BF5" w:rsidRPr="00CA6BF5" w:rsidRDefault="00CA6BF5" w:rsidP="00CA6BF5">
      <w:pPr>
        <w:widowControl/>
        <w:shd w:val="clear" w:color="auto" w:fill="FFFFFF"/>
        <w:spacing w:before="82" w:after="82"/>
        <w:jc w:val="left"/>
        <w:rPr>
          <w:rFonts w:ascii="宋体" w:eastAsia="宋体" w:hAnsi="宋体" w:cs="宋体"/>
          <w:color w:val="333333"/>
          <w:kern w:val="0"/>
          <w:szCs w:val="21"/>
        </w:rPr>
      </w:pPr>
      <w:r w:rsidRPr="00CA6BF5">
        <w:rPr>
          <w:rFonts w:ascii="宋体" w:eastAsia="宋体" w:hAnsi="宋体" w:cs="宋体" w:hint="eastAsia"/>
          <w:color w:val="333333"/>
          <w:kern w:val="0"/>
          <w:szCs w:val="21"/>
        </w:rPr>
        <w:t xml:space="preserve">　　《办法》共43条，针对适当性管理中的实际问题，主要规定了以下制度安排：一是形成了依据多维度指标对投资者进行分类的体系，统一投资者分类标准和管理要求。二是明确了产品分级的底线要求和职责分工，建立层层把关、严控风险的产品分级机制。三是规定了经营机构在适当性管理各个环节应当履行的义务，全面从严规范相关行为。四是突出对于普通投资者的特别保护，向投资者提供有针对性的产品及差别化服务。五是强化了监管职责与法律责任，确保适当性义务落到实处。</w:t>
      </w:r>
    </w:p>
    <w:p w:rsidR="00CA6BF5" w:rsidRPr="00CA6BF5" w:rsidRDefault="00CA6BF5" w:rsidP="00CA6BF5">
      <w:pPr>
        <w:widowControl/>
        <w:shd w:val="clear" w:color="auto" w:fill="FFFFFF"/>
        <w:spacing w:before="82" w:after="82"/>
        <w:jc w:val="left"/>
        <w:rPr>
          <w:rFonts w:ascii="宋体" w:eastAsia="宋体" w:hAnsi="宋体" w:cs="宋体"/>
          <w:color w:val="333333"/>
          <w:kern w:val="0"/>
          <w:szCs w:val="21"/>
        </w:rPr>
      </w:pPr>
      <w:r w:rsidRPr="00CA6BF5">
        <w:rPr>
          <w:rFonts w:ascii="宋体" w:eastAsia="宋体" w:hAnsi="宋体" w:cs="宋体" w:hint="eastAsia"/>
          <w:color w:val="333333"/>
          <w:kern w:val="0"/>
          <w:szCs w:val="21"/>
        </w:rPr>
        <w:t xml:space="preserve">　　《办法》自9月9日起公开征求意见，市场广泛关注，社会各界对依法加强适当性管理总体上表示支持。征求意见期间，我会共收到反馈意见715条，对重复内容归并整理后，意见共154条，主要集中在投资者分类、产品或者服务分级、经营机构的适当性义务等方面。经过认真研究，《办法》将针对性较强、可行性较高的意见逐一采纳。此外，需要进一步说明的是：</w:t>
      </w:r>
    </w:p>
    <w:p w:rsidR="00CA6BF5" w:rsidRPr="00CA6BF5" w:rsidRDefault="00CA6BF5" w:rsidP="00CA6BF5">
      <w:pPr>
        <w:widowControl/>
        <w:shd w:val="clear" w:color="auto" w:fill="FFFFFF"/>
        <w:spacing w:before="82" w:after="82"/>
        <w:jc w:val="left"/>
        <w:rPr>
          <w:rFonts w:ascii="宋体" w:eastAsia="宋体" w:hAnsi="宋体" w:cs="宋体"/>
          <w:color w:val="333333"/>
          <w:kern w:val="0"/>
          <w:szCs w:val="21"/>
        </w:rPr>
      </w:pPr>
      <w:r w:rsidRPr="00CA6BF5">
        <w:rPr>
          <w:rFonts w:ascii="宋体" w:eastAsia="宋体" w:hAnsi="宋体" w:cs="宋体" w:hint="eastAsia"/>
          <w:color w:val="333333"/>
          <w:kern w:val="0"/>
          <w:szCs w:val="21"/>
        </w:rPr>
        <w:t xml:space="preserve">　　一是关于对普通投资者的特别保护。有意见提出，投资者是平等的，不应该因为专业与否而享有特殊权利。考虑到我国资本市场以普通投资者为主，</w:t>
      </w:r>
      <w:proofErr w:type="gramStart"/>
      <w:r w:rsidRPr="00CA6BF5">
        <w:rPr>
          <w:rFonts w:ascii="宋体" w:eastAsia="宋体" w:hAnsi="宋体" w:cs="宋体" w:hint="eastAsia"/>
          <w:color w:val="333333"/>
          <w:kern w:val="0"/>
          <w:szCs w:val="21"/>
        </w:rPr>
        <w:t>且普通</w:t>
      </w:r>
      <w:proofErr w:type="gramEnd"/>
      <w:r w:rsidRPr="00CA6BF5">
        <w:rPr>
          <w:rFonts w:ascii="宋体" w:eastAsia="宋体" w:hAnsi="宋体" w:cs="宋体" w:hint="eastAsia"/>
          <w:color w:val="333333"/>
          <w:kern w:val="0"/>
          <w:szCs w:val="21"/>
        </w:rPr>
        <w:t>投资者相对于专业投资者在资金实力、信息获取、专业知识等方面处于弱势地位，风险承受能力和自我保护能力较低，为实现实质公平，应给予特别保护，因此《办法》保留了相关规定。</w:t>
      </w:r>
    </w:p>
    <w:p w:rsidR="00CA6BF5" w:rsidRPr="00CA6BF5" w:rsidRDefault="00CA6BF5" w:rsidP="00CA6BF5">
      <w:pPr>
        <w:widowControl/>
        <w:shd w:val="clear" w:color="auto" w:fill="FFFFFF"/>
        <w:spacing w:before="82" w:after="82"/>
        <w:jc w:val="left"/>
        <w:rPr>
          <w:rFonts w:ascii="宋体" w:eastAsia="宋体" w:hAnsi="宋体" w:cs="宋体"/>
          <w:color w:val="333333"/>
          <w:kern w:val="0"/>
          <w:szCs w:val="21"/>
        </w:rPr>
      </w:pPr>
      <w:r w:rsidRPr="00CA6BF5">
        <w:rPr>
          <w:rFonts w:ascii="宋体" w:eastAsia="宋体" w:hAnsi="宋体" w:cs="宋体" w:hint="eastAsia"/>
          <w:color w:val="333333"/>
          <w:kern w:val="0"/>
          <w:szCs w:val="21"/>
        </w:rPr>
        <w:t xml:space="preserve">　　二是关于投资者类别转化。有意见认为，应允</w:t>
      </w:r>
      <w:proofErr w:type="gramStart"/>
      <w:r w:rsidRPr="00CA6BF5">
        <w:rPr>
          <w:rFonts w:ascii="宋体" w:eastAsia="宋体" w:hAnsi="宋体" w:cs="宋体" w:hint="eastAsia"/>
          <w:color w:val="333333"/>
          <w:kern w:val="0"/>
          <w:szCs w:val="21"/>
        </w:rPr>
        <w:t>许经营</w:t>
      </w:r>
      <w:proofErr w:type="gramEnd"/>
      <w:r w:rsidRPr="00CA6BF5">
        <w:rPr>
          <w:rFonts w:ascii="宋体" w:eastAsia="宋体" w:hAnsi="宋体" w:cs="宋体" w:hint="eastAsia"/>
          <w:color w:val="333333"/>
          <w:kern w:val="0"/>
          <w:szCs w:val="21"/>
        </w:rPr>
        <w:t>机构对专业投资者转化为普通投资者进行限制；也有意见认为，要考虑经营机构为规避适当性义务鼓动普通投资者转化为专业投资者的情形。鉴于《办法》规定普通投资者和专业投资者可以互相转化，目的是在对投资者进行分类保护的同时，尊重符合条件的投资者自主选择的权利，《办法》对两类投资者互相转化的条件及程序提出了具体要求，既能够规范转化行为，又赋予了经营机构一定空间，因此保留了相关规定。</w:t>
      </w:r>
    </w:p>
    <w:p w:rsidR="00CA6BF5" w:rsidRPr="00CA6BF5" w:rsidRDefault="00CA6BF5" w:rsidP="00CA6BF5">
      <w:pPr>
        <w:widowControl/>
        <w:shd w:val="clear" w:color="auto" w:fill="FFFFFF"/>
        <w:spacing w:before="82" w:after="82"/>
        <w:jc w:val="left"/>
        <w:rPr>
          <w:rFonts w:ascii="宋体" w:eastAsia="宋体" w:hAnsi="宋体" w:cs="宋体"/>
          <w:color w:val="333333"/>
          <w:kern w:val="0"/>
          <w:szCs w:val="21"/>
        </w:rPr>
      </w:pPr>
      <w:r w:rsidRPr="00CA6BF5">
        <w:rPr>
          <w:rFonts w:ascii="宋体" w:eastAsia="宋体" w:hAnsi="宋体" w:cs="宋体" w:hint="eastAsia"/>
          <w:color w:val="333333"/>
          <w:kern w:val="0"/>
          <w:szCs w:val="21"/>
        </w:rPr>
        <w:t xml:space="preserve">　　三是关于不匹配购买。有意见提出，投资者坚持购买高于其风险承受能力的产品，经营机构应当拒绝销售；还有相反意见认为，即便是风险承受能力最低的投资者，只要是自愿，都可以购买高于其风险承受能力的产品。考虑到既要尊重投资者自由选择权，也要对投资者给予底线保护，《办法》尽可能在两者间取得平衡，因此保留了相关规定，对于主动要求购买超出其风险承受能力产品的投资者，经营机构要确认其不属于风险承受能力最低类别，并进行书面风险警示后，如投资者坚持购买，才可以向其销售。</w:t>
      </w:r>
    </w:p>
    <w:p w:rsidR="00CA6BF5" w:rsidRPr="00CA6BF5" w:rsidRDefault="00CA6BF5" w:rsidP="00CA6BF5">
      <w:pPr>
        <w:widowControl/>
        <w:shd w:val="clear" w:color="auto" w:fill="FFFFFF"/>
        <w:spacing w:before="82" w:after="82"/>
        <w:jc w:val="left"/>
        <w:rPr>
          <w:rFonts w:ascii="宋体" w:eastAsia="宋体" w:hAnsi="宋体" w:cs="宋体"/>
          <w:color w:val="333333"/>
          <w:kern w:val="0"/>
          <w:szCs w:val="21"/>
        </w:rPr>
      </w:pPr>
      <w:r w:rsidRPr="00CA6BF5">
        <w:rPr>
          <w:rFonts w:ascii="宋体" w:eastAsia="宋体" w:hAnsi="宋体" w:cs="宋体" w:hint="eastAsia"/>
          <w:color w:val="333333"/>
          <w:kern w:val="0"/>
          <w:szCs w:val="21"/>
        </w:rPr>
        <w:t xml:space="preserve">　　四是关于录音录像、留痕安排的要求。有意见提出，全过程录音、录像的文件较大，保存保管也存在困难。鉴于《办法》的相关要求仅是针对普通投资者的特别保护安排，且在当前技术条件下，相关要求可以实现，同时，一旦发生适当性纠纷，录音录像文件也可作为证据，有利于保护投资者和经营机构双方的合法权益，因此《办法》保留了相关规定，并进一步列举了录音录像要求的具体适用范围。</w:t>
      </w:r>
    </w:p>
    <w:p w:rsidR="00CA6BF5" w:rsidRPr="00CA6BF5" w:rsidRDefault="00CA6BF5" w:rsidP="00CA6BF5">
      <w:pPr>
        <w:widowControl/>
        <w:shd w:val="clear" w:color="auto" w:fill="FFFFFF"/>
        <w:spacing w:before="82" w:after="82"/>
        <w:jc w:val="left"/>
        <w:rPr>
          <w:rFonts w:ascii="宋体" w:eastAsia="宋体" w:hAnsi="宋体" w:cs="宋体"/>
          <w:color w:val="333333"/>
          <w:kern w:val="0"/>
          <w:szCs w:val="21"/>
        </w:rPr>
      </w:pPr>
      <w:r w:rsidRPr="00CA6BF5">
        <w:rPr>
          <w:rFonts w:ascii="宋体" w:eastAsia="宋体" w:hAnsi="宋体" w:cs="宋体" w:hint="eastAsia"/>
          <w:color w:val="333333"/>
          <w:kern w:val="0"/>
          <w:szCs w:val="21"/>
        </w:rPr>
        <w:lastRenderedPageBreak/>
        <w:t xml:space="preserve">　　还有部分意见没有直接吸收采纳，有的是《办法》其他条款已有规定，有的属于操作性、技术性层面的内容，将在各交易场所和行业协会的配套自律规则层面予以规范，或以其他形式予以明确。</w:t>
      </w:r>
    </w:p>
    <w:p w:rsidR="00CA6BF5" w:rsidRDefault="00CA6BF5" w:rsidP="004A54C1">
      <w:pPr>
        <w:widowControl/>
        <w:shd w:val="clear" w:color="auto" w:fill="FFFFFF"/>
        <w:spacing w:before="82"/>
        <w:ind w:firstLine="420"/>
        <w:jc w:val="left"/>
        <w:rPr>
          <w:rFonts w:ascii="宋体" w:eastAsia="宋体" w:hAnsi="宋体" w:cs="宋体"/>
          <w:color w:val="333333"/>
          <w:kern w:val="0"/>
          <w:szCs w:val="21"/>
        </w:rPr>
      </w:pPr>
      <w:r w:rsidRPr="00CA6BF5">
        <w:rPr>
          <w:rFonts w:ascii="宋体" w:eastAsia="宋体" w:hAnsi="宋体" w:cs="宋体" w:hint="eastAsia"/>
          <w:color w:val="333333"/>
          <w:kern w:val="0"/>
          <w:szCs w:val="21"/>
        </w:rPr>
        <w:t>下一步，我会将按照《关于实施&lt;证券期货投资者适当性管理办法&gt;的规定》的要求，督促经营机构在《办法》发布后</w:t>
      </w:r>
      <w:proofErr w:type="gramStart"/>
      <w:r w:rsidRPr="00CA6BF5">
        <w:rPr>
          <w:rFonts w:ascii="宋体" w:eastAsia="宋体" w:hAnsi="宋体" w:cs="宋体" w:hint="eastAsia"/>
          <w:color w:val="333333"/>
          <w:kern w:val="0"/>
          <w:szCs w:val="21"/>
        </w:rPr>
        <w:t>至实施</w:t>
      </w:r>
      <w:proofErr w:type="gramEnd"/>
      <w:r w:rsidRPr="00CA6BF5">
        <w:rPr>
          <w:rFonts w:ascii="宋体" w:eastAsia="宋体" w:hAnsi="宋体" w:cs="宋体" w:hint="eastAsia"/>
          <w:color w:val="333333"/>
          <w:kern w:val="0"/>
          <w:szCs w:val="21"/>
        </w:rPr>
        <w:t>前的6个月过渡期内，从管理制度、技术设备、人员配备等各个层面做好准备。在《办法》实施后，经营机构应当按照《办法》要求，对新开立账户或接受服务的客户以及购买新产品或接受新服务的老客户进行分类、评估、匹配及动态管理，建立投资者评估数据库，严格落实适当性管理制度。我会也将通过专项检查、随机抽查等方式，督促经营机构严格执行适当性规定，切实保护投资者合法权益。</w:t>
      </w:r>
    </w:p>
    <w:p w:rsidR="004A54C1" w:rsidRPr="00CA6BF5" w:rsidRDefault="004A54C1" w:rsidP="004A54C1">
      <w:pPr>
        <w:widowControl/>
        <w:shd w:val="clear" w:color="auto" w:fill="FFFFFF"/>
        <w:spacing w:before="82"/>
        <w:ind w:firstLine="420"/>
        <w:jc w:val="left"/>
        <w:rPr>
          <w:rFonts w:ascii="宋体" w:eastAsia="宋体" w:hAnsi="宋体" w:cs="宋体"/>
          <w:color w:val="333333"/>
          <w:kern w:val="0"/>
          <w:szCs w:val="21"/>
        </w:rPr>
      </w:pPr>
    </w:p>
    <w:p w:rsidR="00CA6BF5" w:rsidRDefault="00CA6BF5">
      <w:pPr>
        <w:rPr>
          <w:rFonts w:hint="eastAsia"/>
        </w:rPr>
      </w:pPr>
    </w:p>
    <w:p w:rsidR="00EC0CCA" w:rsidRDefault="00EC0CCA" w:rsidP="00EC0CCA">
      <w:pPr>
        <w:jc w:val="center"/>
        <w:rPr>
          <w:rFonts w:hint="eastAsia"/>
        </w:rPr>
      </w:pPr>
      <w:r>
        <w:rPr>
          <w:rFonts w:hint="eastAsia"/>
        </w:rPr>
        <w:t>证券期货投资者适当性管理办法（全文）</w:t>
      </w:r>
    </w:p>
    <w:p w:rsidR="00EC0CCA" w:rsidRDefault="00EC0CCA" w:rsidP="00EC0CCA">
      <w:pPr>
        <w:jc w:val="center"/>
        <w:rPr>
          <w:rFonts w:hint="eastAsia"/>
        </w:rPr>
      </w:pPr>
      <w:r>
        <w:rPr>
          <w:rFonts w:hint="eastAsia"/>
        </w:rPr>
        <w:t xml:space="preserve">2016-12-17 </w:t>
      </w:r>
      <w:r>
        <w:rPr>
          <w:rFonts w:hint="eastAsia"/>
        </w:rPr>
        <w:t xml:space="preserve"> </w:t>
      </w:r>
      <w:r>
        <w:rPr>
          <w:rFonts w:hint="eastAsia"/>
        </w:rPr>
        <w:t>来源：中国证券报·中证网</w:t>
      </w:r>
    </w:p>
    <w:p w:rsidR="00EC0CCA" w:rsidRPr="00EC0CCA" w:rsidRDefault="00EC0CCA" w:rsidP="00EC0CCA">
      <w:pPr>
        <w:jc w:val="center"/>
        <w:rPr>
          <w:rFonts w:hint="eastAsia"/>
        </w:rPr>
      </w:pPr>
      <w:bookmarkStart w:id="0" w:name="_GoBack"/>
      <w:bookmarkEnd w:id="0"/>
    </w:p>
    <w:p w:rsidR="00EC0CCA" w:rsidRDefault="00EC0CCA" w:rsidP="00EC0CCA">
      <w:pPr>
        <w:rPr>
          <w:rFonts w:hint="eastAsia"/>
        </w:rPr>
      </w:pPr>
      <w:r>
        <w:rPr>
          <w:rFonts w:hint="eastAsia"/>
        </w:rPr>
        <w:t xml:space="preserve">　　第一条</w:t>
      </w:r>
      <w:r>
        <w:rPr>
          <w:rFonts w:hint="eastAsia"/>
        </w:rPr>
        <w:t xml:space="preserve"> </w:t>
      </w:r>
      <w:r>
        <w:rPr>
          <w:rFonts w:hint="eastAsia"/>
        </w:rPr>
        <w:t>为了规范证券期货投资者适当性管理，维护投资者合法权益，根据《证券法》《证券投资基金法》《证券公司监督管理条例》《期货交易管理条例》及其他相关法律、行政法规，制定本办法。</w:t>
      </w:r>
    </w:p>
    <w:p w:rsidR="00EC0CCA" w:rsidRDefault="00EC0CCA" w:rsidP="00EC0CCA">
      <w:pPr>
        <w:rPr>
          <w:rFonts w:hint="eastAsia"/>
        </w:rPr>
      </w:pPr>
      <w:r>
        <w:rPr>
          <w:rFonts w:hint="eastAsia"/>
        </w:rPr>
        <w:t xml:space="preserve">　　第二条</w:t>
      </w:r>
      <w:r>
        <w:rPr>
          <w:rFonts w:hint="eastAsia"/>
        </w:rPr>
        <w:t xml:space="preserve"> </w:t>
      </w:r>
      <w:r>
        <w:rPr>
          <w:rFonts w:hint="eastAsia"/>
        </w:rPr>
        <w:t>向投资者销售公开或者非公开发行的证券、公开或者非公开募集的证券投资基金和股权投资基金（包括创业投资基金</w:t>
      </w:r>
      <w:r>
        <w:rPr>
          <w:rFonts w:hint="eastAsia"/>
        </w:rPr>
        <w:t>,</w:t>
      </w:r>
      <w:r>
        <w:rPr>
          <w:rFonts w:hint="eastAsia"/>
        </w:rPr>
        <w:t>以下简称基金）、公开或者非公开转让的期货及其他衍生产品，或者为投资者提供相关业务服务的，适用本办法。</w:t>
      </w:r>
    </w:p>
    <w:p w:rsidR="00EC0CCA" w:rsidRDefault="00EC0CCA" w:rsidP="00EC0CCA">
      <w:pPr>
        <w:rPr>
          <w:rFonts w:hint="eastAsia"/>
        </w:rPr>
      </w:pPr>
      <w:r>
        <w:rPr>
          <w:rFonts w:hint="eastAsia"/>
        </w:rPr>
        <w:t xml:space="preserve">　　第三条</w:t>
      </w:r>
      <w:r>
        <w:rPr>
          <w:rFonts w:hint="eastAsia"/>
        </w:rPr>
        <w:t xml:space="preserve"> </w:t>
      </w:r>
      <w:r>
        <w:rPr>
          <w:rFonts w:hint="eastAsia"/>
        </w:rPr>
        <w:t>向投资者销售证券期货产品或者提供证券期货服务的机构（以下简称经营机构）应当遵守法律、行政法规、本办法及其他有关规定，在销售产品或者提供服务的过程中，勤勉尽责，审慎履职，全面了解投资者情况，深入调查分析产品或者服务信息，科学有效评估，充分揭示风险，基于投资者的不同风险承受能力以及产品或者服务的不同风险等级等因素，提出明确的适当性匹配意见，将适当的产品或者服务销售或者提供给适合的投资者，并对违法违规行为承担法律责任。</w:t>
      </w:r>
    </w:p>
    <w:p w:rsidR="00EC0CCA" w:rsidRDefault="00EC0CCA" w:rsidP="00EC0CCA">
      <w:pPr>
        <w:rPr>
          <w:rFonts w:hint="eastAsia"/>
        </w:rPr>
      </w:pPr>
      <w:r>
        <w:rPr>
          <w:rFonts w:hint="eastAsia"/>
        </w:rPr>
        <w:t xml:space="preserve">　　第四条</w:t>
      </w:r>
      <w:r>
        <w:rPr>
          <w:rFonts w:hint="eastAsia"/>
        </w:rPr>
        <w:t xml:space="preserve"> </w:t>
      </w:r>
      <w:r>
        <w:rPr>
          <w:rFonts w:hint="eastAsia"/>
        </w:rPr>
        <w:t>投资者应当在了解产品或者服务情况，听取经营机构适当性意见的基础上，根据自身能力审慎决策，独立承担投资风险。</w:t>
      </w:r>
    </w:p>
    <w:p w:rsidR="00EC0CCA" w:rsidRDefault="00EC0CCA" w:rsidP="00EC0CCA">
      <w:pPr>
        <w:rPr>
          <w:rFonts w:hint="eastAsia"/>
        </w:rPr>
      </w:pPr>
      <w:r>
        <w:rPr>
          <w:rFonts w:hint="eastAsia"/>
        </w:rPr>
        <w:t xml:space="preserve">　　经营机构的适当性匹配意见不表明其对产品或者服务的风险和收益做出实质性判断或者保证。</w:t>
      </w:r>
    </w:p>
    <w:p w:rsidR="00EC0CCA" w:rsidRDefault="00EC0CCA" w:rsidP="00EC0CCA">
      <w:pPr>
        <w:rPr>
          <w:rFonts w:hint="eastAsia"/>
        </w:rPr>
      </w:pPr>
      <w:r>
        <w:rPr>
          <w:rFonts w:hint="eastAsia"/>
        </w:rPr>
        <w:t xml:space="preserve">　　第五条</w:t>
      </w:r>
      <w:r>
        <w:rPr>
          <w:rFonts w:hint="eastAsia"/>
        </w:rPr>
        <w:t xml:space="preserve"> </w:t>
      </w:r>
      <w:r>
        <w:rPr>
          <w:rFonts w:hint="eastAsia"/>
        </w:rPr>
        <w:t>中国证券监督管理委员会（以下简称中国证监会）及其派出机构依照法律、行政法规、本办法及其他相关规定，对经营机构履行适当性义务进行监督管理。</w:t>
      </w:r>
    </w:p>
    <w:p w:rsidR="00EC0CCA" w:rsidRDefault="00EC0CCA" w:rsidP="00EC0CCA">
      <w:pPr>
        <w:rPr>
          <w:rFonts w:hint="eastAsia"/>
        </w:rPr>
      </w:pPr>
      <w:r>
        <w:rPr>
          <w:rFonts w:hint="eastAsia"/>
        </w:rPr>
        <w:t xml:space="preserve">　　证券期货交易场所、登记结算机构及中国证券业协会、中国期货业协会、中国证券投资基金业协会（以下统称行业协会）等自律组织对经营机构履行适当性义务进行自律管理。</w:t>
      </w:r>
    </w:p>
    <w:p w:rsidR="00EC0CCA" w:rsidRDefault="00EC0CCA" w:rsidP="00EC0CCA">
      <w:pPr>
        <w:rPr>
          <w:rFonts w:hint="eastAsia"/>
        </w:rPr>
      </w:pPr>
      <w:r>
        <w:rPr>
          <w:rFonts w:hint="eastAsia"/>
        </w:rPr>
        <w:t xml:space="preserve">　　第六条</w:t>
      </w:r>
      <w:r>
        <w:rPr>
          <w:rFonts w:hint="eastAsia"/>
        </w:rPr>
        <w:t xml:space="preserve"> </w:t>
      </w:r>
      <w:r>
        <w:rPr>
          <w:rFonts w:hint="eastAsia"/>
        </w:rPr>
        <w:t>经营机构向投资者销售产品或者提供服务时，应当了解投资者的下列信息：</w:t>
      </w:r>
    </w:p>
    <w:p w:rsidR="00EC0CCA" w:rsidRDefault="00EC0CCA" w:rsidP="00EC0CCA">
      <w:pPr>
        <w:rPr>
          <w:rFonts w:hint="eastAsia"/>
        </w:rPr>
      </w:pPr>
      <w:r>
        <w:rPr>
          <w:rFonts w:hint="eastAsia"/>
        </w:rPr>
        <w:t xml:space="preserve">　　（一）自然人的姓名、住址、职业、年龄、联系方式，法人或者其他组织的名称、注册地址、办公地址、性质、资质及经营范围等基本信息；</w:t>
      </w:r>
    </w:p>
    <w:p w:rsidR="00EC0CCA" w:rsidRDefault="00EC0CCA" w:rsidP="00EC0CCA">
      <w:pPr>
        <w:rPr>
          <w:rFonts w:hint="eastAsia"/>
        </w:rPr>
      </w:pPr>
      <w:r>
        <w:rPr>
          <w:rFonts w:hint="eastAsia"/>
        </w:rPr>
        <w:t xml:space="preserve">　　（二）收入来源和数额、资产、债务等财务状况；</w:t>
      </w:r>
    </w:p>
    <w:p w:rsidR="00EC0CCA" w:rsidRDefault="00EC0CCA" w:rsidP="00EC0CCA">
      <w:pPr>
        <w:rPr>
          <w:rFonts w:hint="eastAsia"/>
        </w:rPr>
      </w:pPr>
      <w:r>
        <w:rPr>
          <w:rFonts w:hint="eastAsia"/>
        </w:rPr>
        <w:t xml:space="preserve">　　（三）投资相关的学习、工作经历及投资经验；</w:t>
      </w:r>
    </w:p>
    <w:p w:rsidR="00EC0CCA" w:rsidRDefault="00EC0CCA" w:rsidP="00EC0CCA">
      <w:pPr>
        <w:rPr>
          <w:rFonts w:hint="eastAsia"/>
        </w:rPr>
      </w:pPr>
      <w:r>
        <w:rPr>
          <w:rFonts w:hint="eastAsia"/>
        </w:rPr>
        <w:t xml:space="preserve">　　（四）投资期限、品种、期望收益等投资目标；</w:t>
      </w:r>
    </w:p>
    <w:p w:rsidR="00EC0CCA" w:rsidRDefault="00EC0CCA" w:rsidP="00EC0CCA">
      <w:pPr>
        <w:rPr>
          <w:rFonts w:hint="eastAsia"/>
        </w:rPr>
      </w:pPr>
      <w:r>
        <w:rPr>
          <w:rFonts w:hint="eastAsia"/>
        </w:rPr>
        <w:t xml:space="preserve">　　（五）风险偏好及可承受的损失；</w:t>
      </w:r>
    </w:p>
    <w:p w:rsidR="00EC0CCA" w:rsidRDefault="00EC0CCA" w:rsidP="00EC0CCA">
      <w:pPr>
        <w:rPr>
          <w:rFonts w:hint="eastAsia"/>
        </w:rPr>
      </w:pPr>
      <w:r>
        <w:rPr>
          <w:rFonts w:hint="eastAsia"/>
        </w:rPr>
        <w:t xml:space="preserve">　　（六）诚信记录；</w:t>
      </w:r>
    </w:p>
    <w:p w:rsidR="00EC0CCA" w:rsidRDefault="00EC0CCA" w:rsidP="00EC0CCA">
      <w:pPr>
        <w:rPr>
          <w:rFonts w:hint="eastAsia"/>
        </w:rPr>
      </w:pPr>
      <w:r>
        <w:rPr>
          <w:rFonts w:hint="eastAsia"/>
        </w:rPr>
        <w:t xml:space="preserve">　　（七）实际控制投资者的自然人和交易的实际受益人；</w:t>
      </w:r>
    </w:p>
    <w:p w:rsidR="00EC0CCA" w:rsidRDefault="00EC0CCA" w:rsidP="00EC0CCA">
      <w:pPr>
        <w:rPr>
          <w:rFonts w:hint="eastAsia"/>
        </w:rPr>
      </w:pPr>
      <w:r>
        <w:rPr>
          <w:rFonts w:hint="eastAsia"/>
        </w:rPr>
        <w:t xml:space="preserve">　　（八）法律法规、自律规则规定的投资者准入要求相关信息；</w:t>
      </w:r>
    </w:p>
    <w:p w:rsidR="00EC0CCA" w:rsidRDefault="00EC0CCA" w:rsidP="00EC0CCA">
      <w:pPr>
        <w:rPr>
          <w:rFonts w:hint="eastAsia"/>
        </w:rPr>
      </w:pPr>
      <w:r>
        <w:rPr>
          <w:rFonts w:hint="eastAsia"/>
        </w:rPr>
        <w:lastRenderedPageBreak/>
        <w:t xml:space="preserve">　　（九）其他必要信息。</w:t>
      </w:r>
    </w:p>
    <w:p w:rsidR="00EC0CCA" w:rsidRDefault="00EC0CCA" w:rsidP="00EC0CCA">
      <w:pPr>
        <w:rPr>
          <w:rFonts w:hint="eastAsia"/>
        </w:rPr>
      </w:pPr>
      <w:r>
        <w:rPr>
          <w:rFonts w:hint="eastAsia"/>
        </w:rPr>
        <w:t xml:space="preserve">　　第七条</w:t>
      </w:r>
      <w:r>
        <w:rPr>
          <w:rFonts w:hint="eastAsia"/>
        </w:rPr>
        <w:t xml:space="preserve"> </w:t>
      </w:r>
      <w:r>
        <w:rPr>
          <w:rFonts w:hint="eastAsia"/>
        </w:rPr>
        <w:t>投资者分为普通投资者与专业投资者。普通投资者在信息告知、风险警示、适当性匹配等方面享有特别保护。</w:t>
      </w:r>
    </w:p>
    <w:p w:rsidR="00EC0CCA" w:rsidRDefault="00EC0CCA" w:rsidP="00EC0CCA">
      <w:pPr>
        <w:rPr>
          <w:rFonts w:hint="eastAsia"/>
        </w:rPr>
      </w:pPr>
      <w:r>
        <w:rPr>
          <w:rFonts w:hint="eastAsia"/>
        </w:rPr>
        <w:t xml:space="preserve">　　第八条</w:t>
      </w:r>
      <w:r>
        <w:rPr>
          <w:rFonts w:hint="eastAsia"/>
        </w:rPr>
        <w:t xml:space="preserve"> </w:t>
      </w:r>
      <w:r>
        <w:rPr>
          <w:rFonts w:hint="eastAsia"/>
        </w:rPr>
        <w:t>符合下列条件之一的是专业投资者：</w:t>
      </w:r>
    </w:p>
    <w:p w:rsidR="00EC0CCA" w:rsidRDefault="00EC0CCA" w:rsidP="00EC0CCA">
      <w:pPr>
        <w:rPr>
          <w:rFonts w:hint="eastAsia"/>
        </w:rPr>
      </w:pPr>
      <w:r>
        <w:rPr>
          <w:rFonts w:hint="eastAsia"/>
        </w:rPr>
        <w:t xml:space="preserve">　　（一）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rsidR="00EC0CCA" w:rsidRDefault="00EC0CCA" w:rsidP="00EC0CCA">
      <w:pPr>
        <w:rPr>
          <w:rFonts w:hint="eastAsia"/>
        </w:rPr>
      </w:pPr>
      <w:r>
        <w:rPr>
          <w:rFonts w:hint="eastAsia"/>
        </w:rPr>
        <w:t xml:space="preserve">　　（二）上述机构面向投资者发行的理财产品，包括但不限于证券公司资产管理产品、基金管理公司及其子公司产品、期货公司资产管理产品、银行理财产品、保险产品、信托产品、经行业协会备案的私募基金。</w:t>
      </w:r>
    </w:p>
    <w:p w:rsidR="00EC0CCA" w:rsidRDefault="00EC0CCA" w:rsidP="00EC0CCA">
      <w:pPr>
        <w:rPr>
          <w:rFonts w:hint="eastAsia"/>
        </w:rPr>
      </w:pPr>
      <w:r>
        <w:rPr>
          <w:rFonts w:hint="eastAsia"/>
        </w:rPr>
        <w:t xml:space="preserve">　　（三）社会保障基金、企业年金等养老基金，慈善基金等社会公益基金，合格境外机构投资者（</w:t>
      </w:r>
      <w:r>
        <w:rPr>
          <w:rFonts w:hint="eastAsia"/>
        </w:rPr>
        <w:t>QFII</w:t>
      </w:r>
      <w:r>
        <w:rPr>
          <w:rFonts w:hint="eastAsia"/>
        </w:rPr>
        <w:t>）、人民币合格境外机构投资者（</w:t>
      </w:r>
      <w:r>
        <w:rPr>
          <w:rFonts w:hint="eastAsia"/>
        </w:rPr>
        <w:t>RQFII</w:t>
      </w:r>
      <w:r>
        <w:rPr>
          <w:rFonts w:hint="eastAsia"/>
        </w:rPr>
        <w:t>）。</w:t>
      </w:r>
    </w:p>
    <w:p w:rsidR="00EC0CCA" w:rsidRDefault="00EC0CCA" w:rsidP="00EC0CCA">
      <w:pPr>
        <w:rPr>
          <w:rFonts w:hint="eastAsia"/>
        </w:rPr>
      </w:pPr>
      <w:r>
        <w:rPr>
          <w:rFonts w:hint="eastAsia"/>
        </w:rPr>
        <w:t xml:space="preserve">　　（四）同时符合下列条件的法人或者其他组织：</w:t>
      </w:r>
    </w:p>
    <w:p w:rsidR="00EC0CCA" w:rsidRDefault="00EC0CCA" w:rsidP="00EC0CCA">
      <w:pPr>
        <w:rPr>
          <w:rFonts w:hint="eastAsia"/>
        </w:rPr>
      </w:pPr>
      <w:r>
        <w:rPr>
          <w:rFonts w:hint="eastAsia"/>
        </w:rPr>
        <w:t xml:space="preserve">　　</w:t>
      </w:r>
      <w:r>
        <w:rPr>
          <w:rFonts w:hint="eastAsia"/>
        </w:rPr>
        <w:t>1.</w:t>
      </w:r>
      <w:r>
        <w:rPr>
          <w:rFonts w:hint="eastAsia"/>
        </w:rPr>
        <w:t>最近</w:t>
      </w:r>
      <w:r>
        <w:rPr>
          <w:rFonts w:hint="eastAsia"/>
        </w:rPr>
        <w:t>1</w:t>
      </w:r>
      <w:r>
        <w:rPr>
          <w:rFonts w:hint="eastAsia"/>
        </w:rPr>
        <w:t>年末净资产不低于</w:t>
      </w:r>
      <w:r>
        <w:rPr>
          <w:rFonts w:hint="eastAsia"/>
        </w:rPr>
        <w:t>2000</w:t>
      </w:r>
      <w:r>
        <w:rPr>
          <w:rFonts w:hint="eastAsia"/>
        </w:rPr>
        <w:t>万元；</w:t>
      </w:r>
    </w:p>
    <w:p w:rsidR="00EC0CCA" w:rsidRDefault="00EC0CCA" w:rsidP="00EC0CCA">
      <w:pPr>
        <w:rPr>
          <w:rFonts w:hint="eastAsia"/>
        </w:rPr>
      </w:pPr>
      <w:r>
        <w:rPr>
          <w:rFonts w:hint="eastAsia"/>
        </w:rPr>
        <w:t xml:space="preserve">　　</w:t>
      </w:r>
      <w:r>
        <w:rPr>
          <w:rFonts w:hint="eastAsia"/>
        </w:rPr>
        <w:t>2.</w:t>
      </w:r>
      <w:r>
        <w:rPr>
          <w:rFonts w:hint="eastAsia"/>
        </w:rPr>
        <w:t>最近</w:t>
      </w:r>
      <w:r>
        <w:rPr>
          <w:rFonts w:hint="eastAsia"/>
        </w:rPr>
        <w:t>1</w:t>
      </w:r>
      <w:r>
        <w:rPr>
          <w:rFonts w:hint="eastAsia"/>
        </w:rPr>
        <w:t>年末金融资产不低于</w:t>
      </w:r>
      <w:r>
        <w:rPr>
          <w:rFonts w:hint="eastAsia"/>
        </w:rPr>
        <w:t>1000</w:t>
      </w:r>
      <w:r>
        <w:rPr>
          <w:rFonts w:hint="eastAsia"/>
        </w:rPr>
        <w:t>万元；</w:t>
      </w:r>
    </w:p>
    <w:p w:rsidR="00EC0CCA" w:rsidRDefault="00EC0CCA" w:rsidP="00EC0CCA">
      <w:pPr>
        <w:rPr>
          <w:rFonts w:hint="eastAsia"/>
        </w:rPr>
      </w:pPr>
      <w:r>
        <w:rPr>
          <w:rFonts w:hint="eastAsia"/>
        </w:rPr>
        <w:t xml:space="preserve">　　</w:t>
      </w:r>
      <w:r>
        <w:rPr>
          <w:rFonts w:hint="eastAsia"/>
        </w:rPr>
        <w:t>3.</w:t>
      </w:r>
      <w:r>
        <w:rPr>
          <w:rFonts w:hint="eastAsia"/>
        </w:rPr>
        <w:t>具有</w:t>
      </w:r>
      <w:r>
        <w:rPr>
          <w:rFonts w:hint="eastAsia"/>
        </w:rPr>
        <w:t>2</w:t>
      </w:r>
      <w:r>
        <w:rPr>
          <w:rFonts w:hint="eastAsia"/>
        </w:rPr>
        <w:t>年以上证券、基金、期货、黄金、外汇等投资经历。</w:t>
      </w:r>
    </w:p>
    <w:p w:rsidR="00EC0CCA" w:rsidRDefault="00EC0CCA" w:rsidP="00EC0CCA">
      <w:pPr>
        <w:rPr>
          <w:rFonts w:hint="eastAsia"/>
        </w:rPr>
      </w:pPr>
      <w:r>
        <w:rPr>
          <w:rFonts w:hint="eastAsia"/>
        </w:rPr>
        <w:t xml:space="preserve">　　（五）同时符合下列条件的自然人：</w:t>
      </w:r>
    </w:p>
    <w:p w:rsidR="00EC0CCA" w:rsidRDefault="00EC0CCA" w:rsidP="00EC0CCA">
      <w:pPr>
        <w:rPr>
          <w:rFonts w:hint="eastAsia"/>
        </w:rPr>
      </w:pPr>
      <w:r>
        <w:rPr>
          <w:rFonts w:hint="eastAsia"/>
        </w:rPr>
        <w:t xml:space="preserve">　　</w:t>
      </w:r>
      <w:r>
        <w:rPr>
          <w:rFonts w:hint="eastAsia"/>
        </w:rPr>
        <w:t>1.</w:t>
      </w:r>
      <w:r>
        <w:rPr>
          <w:rFonts w:hint="eastAsia"/>
        </w:rPr>
        <w:t>金融资产不低于</w:t>
      </w:r>
      <w:r>
        <w:rPr>
          <w:rFonts w:hint="eastAsia"/>
        </w:rPr>
        <w:t>500</w:t>
      </w:r>
      <w:r>
        <w:rPr>
          <w:rFonts w:hint="eastAsia"/>
        </w:rPr>
        <w:t>万元，或者最近</w:t>
      </w:r>
      <w:r>
        <w:rPr>
          <w:rFonts w:hint="eastAsia"/>
        </w:rPr>
        <w:t>3</w:t>
      </w:r>
      <w:r>
        <w:rPr>
          <w:rFonts w:hint="eastAsia"/>
        </w:rPr>
        <w:t>年个人年均收入不低于</w:t>
      </w:r>
      <w:r>
        <w:rPr>
          <w:rFonts w:hint="eastAsia"/>
        </w:rPr>
        <w:t>50</w:t>
      </w:r>
      <w:r>
        <w:rPr>
          <w:rFonts w:hint="eastAsia"/>
        </w:rPr>
        <w:t>万元；</w:t>
      </w:r>
    </w:p>
    <w:p w:rsidR="00EC0CCA" w:rsidRDefault="00EC0CCA" w:rsidP="00EC0CCA">
      <w:pPr>
        <w:rPr>
          <w:rFonts w:hint="eastAsia"/>
        </w:rPr>
      </w:pPr>
      <w:r>
        <w:rPr>
          <w:rFonts w:hint="eastAsia"/>
        </w:rPr>
        <w:t xml:space="preserve">　　</w:t>
      </w:r>
      <w:r>
        <w:rPr>
          <w:rFonts w:hint="eastAsia"/>
        </w:rPr>
        <w:t>2.</w:t>
      </w:r>
      <w:r>
        <w:rPr>
          <w:rFonts w:hint="eastAsia"/>
        </w:rPr>
        <w:t>具有</w:t>
      </w:r>
      <w:r>
        <w:rPr>
          <w:rFonts w:hint="eastAsia"/>
        </w:rPr>
        <w:t>2</w:t>
      </w:r>
      <w:r>
        <w:rPr>
          <w:rFonts w:hint="eastAsia"/>
        </w:rPr>
        <w:t>年以上证券、基金、期货、黄金、外汇等投资经历，或者具有</w:t>
      </w:r>
      <w:r>
        <w:rPr>
          <w:rFonts w:hint="eastAsia"/>
        </w:rPr>
        <w:t>2</w:t>
      </w:r>
      <w:r>
        <w:rPr>
          <w:rFonts w:hint="eastAsia"/>
        </w:rPr>
        <w:t>年以上金融产品设计、投资、风险管理及相关工作经历，或者属于本条第（一）项规定的专业投资者的高级管理人员、获得职业资格认证的从事金融相关业务的注册会计师和律师。</w:t>
      </w:r>
    </w:p>
    <w:p w:rsidR="00EC0CCA" w:rsidRDefault="00EC0CCA" w:rsidP="00EC0CCA">
      <w:pPr>
        <w:rPr>
          <w:rFonts w:hint="eastAsia"/>
        </w:rPr>
      </w:pPr>
      <w:r>
        <w:rPr>
          <w:rFonts w:hint="eastAsia"/>
        </w:rPr>
        <w:t xml:space="preserve">　　前款所称金融资产，是指银行存款、股票、债券、基金份额、资产管理计划、银行理财产品、信托计划、保险产品、期货及其他衍生产品等。</w:t>
      </w:r>
    </w:p>
    <w:p w:rsidR="00EC0CCA" w:rsidRDefault="00EC0CCA" w:rsidP="00EC0CCA">
      <w:pPr>
        <w:rPr>
          <w:rFonts w:hint="eastAsia"/>
        </w:rPr>
      </w:pPr>
      <w:r>
        <w:rPr>
          <w:rFonts w:hint="eastAsia"/>
        </w:rPr>
        <w:t xml:space="preserve">　　第九条</w:t>
      </w:r>
      <w:r>
        <w:rPr>
          <w:rFonts w:hint="eastAsia"/>
        </w:rPr>
        <w:t xml:space="preserve"> </w:t>
      </w:r>
      <w:r>
        <w:rPr>
          <w:rFonts w:hint="eastAsia"/>
        </w:rPr>
        <w:t>经营机构可以根据专业投资者的业务资格、投资实力、投资经历等因素，对专业投资者进行细化分类和管理。</w:t>
      </w:r>
    </w:p>
    <w:p w:rsidR="00EC0CCA" w:rsidRDefault="00EC0CCA" w:rsidP="00EC0CCA">
      <w:pPr>
        <w:rPr>
          <w:rFonts w:hint="eastAsia"/>
        </w:rPr>
      </w:pPr>
      <w:r>
        <w:rPr>
          <w:rFonts w:hint="eastAsia"/>
        </w:rPr>
        <w:t xml:space="preserve">　　第十条</w:t>
      </w:r>
      <w:r>
        <w:rPr>
          <w:rFonts w:hint="eastAsia"/>
        </w:rPr>
        <w:t xml:space="preserve"> </w:t>
      </w:r>
      <w:r>
        <w:rPr>
          <w:rFonts w:hint="eastAsia"/>
        </w:rPr>
        <w:t>专业投资者之外的投资者为普通投资者。</w:t>
      </w:r>
    </w:p>
    <w:p w:rsidR="00EC0CCA" w:rsidRDefault="00EC0CCA" w:rsidP="00EC0CCA">
      <w:pPr>
        <w:rPr>
          <w:rFonts w:hint="eastAsia"/>
        </w:rPr>
      </w:pPr>
      <w:r>
        <w:rPr>
          <w:rFonts w:hint="eastAsia"/>
        </w:rPr>
        <w:t xml:space="preserve">　　经营机构应当按照有效维护投资者合法权益的要求，综合考虑收入来源、资产状况、债务、投资知识和经验、风险偏好、诚信状况等因素，确定普通投资者的风险承受能力，对其进行细化分类和管理。</w:t>
      </w:r>
    </w:p>
    <w:p w:rsidR="00EC0CCA" w:rsidRDefault="00EC0CCA" w:rsidP="00EC0CCA">
      <w:pPr>
        <w:rPr>
          <w:rFonts w:hint="eastAsia"/>
        </w:rPr>
      </w:pPr>
      <w:r>
        <w:rPr>
          <w:rFonts w:hint="eastAsia"/>
        </w:rPr>
        <w:t xml:space="preserve">　　第十一条</w:t>
      </w:r>
      <w:r>
        <w:rPr>
          <w:rFonts w:hint="eastAsia"/>
        </w:rPr>
        <w:t xml:space="preserve"> </w:t>
      </w:r>
      <w:r>
        <w:rPr>
          <w:rFonts w:hint="eastAsia"/>
        </w:rPr>
        <w:t>普通投资者和专业投资者在一定条件下可以互相转化。</w:t>
      </w:r>
    </w:p>
    <w:p w:rsidR="00EC0CCA" w:rsidRDefault="00EC0CCA" w:rsidP="00EC0CCA">
      <w:pPr>
        <w:rPr>
          <w:rFonts w:hint="eastAsia"/>
        </w:rPr>
      </w:pPr>
      <w:r>
        <w:rPr>
          <w:rFonts w:hint="eastAsia"/>
        </w:rPr>
        <w:t xml:space="preserve">　　符合本办法第八条第（四）、（五）项规定的专业投资者，可以书面告知经营机构选择成为普通投资者，经营机构应当对其履行相应的适当性义务。</w:t>
      </w:r>
    </w:p>
    <w:p w:rsidR="00EC0CCA" w:rsidRDefault="00EC0CCA" w:rsidP="00EC0CCA">
      <w:pPr>
        <w:rPr>
          <w:rFonts w:hint="eastAsia"/>
        </w:rPr>
      </w:pPr>
      <w:r>
        <w:rPr>
          <w:rFonts w:hint="eastAsia"/>
        </w:rPr>
        <w:t xml:space="preserve">　　符合下列条件之一的普通投资者可以申请转化成为专业投资者，但经营机构有权自主决定是否同意其转化：</w:t>
      </w:r>
    </w:p>
    <w:p w:rsidR="00EC0CCA" w:rsidRDefault="00EC0CCA" w:rsidP="00EC0CCA">
      <w:pPr>
        <w:rPr>
          <w:rFonts w:hint="eastAsia"/>
        </w:rPr>
      </w:pPr>
      <w:r>
        <w:rPr>
          <w:rFonts w:hint="eastAsia"/>
        </w:rPr>
        <w:t xml:space="preserve">　　（一）最近</w:t>
      </w:r>
      <w:r>
        <w:rPr>
          <w:rFonts w:hint="eastAsia"/>
        </w:rPr>
        <w:t>1</w:t>
      </w:r>
      <w:r>
        <w:rPr>
          <w:rFonts w:hint="eastAsia"/>
        </w:rPr>
        <w:t>年末净资产不低于</w:t>
      </w:r>
      <w:r>
        <w:rPr>
          <w:rFonts w:hint="eastAsia"/>
        </w:rPr>
        <w:t>1000</w:t>
      </w:r>
      <w:r>
        <w:rPr>
          <w:rFonts w:hint="eastAsia"/>
        </w:rPr>
        <w:t>万元，最近</w:t>
      </w:r>
      <w:r>
        <w:rPr>
          <w:rFonts w:hint="eastAsia"/>
        </w:rPr>
        <w:t>1</w:t>
      </w:r>
      <w:r>
        <w:rPr>
          <w:rFonts w:hint="eastAsia"/>
        </w:rPr>
        <w:t>年末金融资产不低于</w:t>
      </w:r>
      <w:r>
        <w:rPr>
          <w:rFonts w:hint="eastAsia"/>
        </w:rPr>
        <w:t>500</w:t>
      </w:r>
      <w:r>
        <w:rPr>
          <w:rFonts w:hint="eastAsia"/>
        </w:rPr>
        <w:t>万元，且具有</w:t>
      </w:r>
      <w:r>
        <w:rPr>
          <w:rFonts w:hint="eastAsia"/>
        </w:rPr>
        <w:t>1</w:t>
      </w:r>
      <w:r>
        <w:rPr>
          <w:rFonts w:hint="eastAsia"/>
        </w:rPr>
        <w:t>年以上证券、基金、期货、黄金、外汇等投资经历的除专业投资者外的法人或其他组织；</w:t>
      </w:r>
    </w:p>
    <w:p w:rsidR="00EC0CCA" w:rsidRDefault="00EC0CCA" w:rsidP="00EC0CCA">
      <w:pPr>
        <w:rPr>
          <w:rFonts w:hint="eastAsia"/>
        </w:rPr>
      </w:pPr>
      <w:r>
        <w:rPr>
          <w:rFonts w:hint="eastAsia"/>
        </w:rPr>
        <w:t xml:space="preserve">　　（二）金融资产不低于</w:t>
      </w:r>
      <w:r>
        <w:rPr>
          <w:rFonts w:hint="eastAsia"/>
        </w:rPr>
        <w:t>300</w:t>
      </w:r>
      <w:r>
        <w:rPr>
          <w:rFonts w:hint="eastAsia"/>
        </w:rPr>
        <w:t>万元或者最近</w:t>
      </w:r>
      <w:r>
        <w:rPr>
          <w:rFonts w:hint="eastAsia"/>
        </w:rPr>
        <w:t>3</w:t>
      </w:r>
      <w:r>
        <w:rPr>
          <w:rFonts w:hint="eastAsia"/>
        </w:rPr>
        <w:t>年个人年均收入不低于</w:t>
      </w:r>
      <w:r>
        <w:rPr>
          <w:rFonts w:hint="eastAsia"/>
        </w:rPr>
        <w:t>30</w:t>
      </w:r>
      <w:r>
        <w:rPr>
          <w:rFonts w:hint="eastAsia"/>
        </w:rPr>
        <w:t>万元，且具有</w:t>
      </w:r>
      <w:r>
        <w:rPr>
          <w:rFonts w:hint="eastAsia"/>
        </w:rPr>
        <w:t>1</w:t>
      </w:r>
      <w:r>
        <w:rPr>
          <w:rFonts w:hint="eastAsia"/>
        </w:rPr>
        <w:t>年以上证券、基金、期货、黄金、外汇等投资经历或者</w:t>
      </w:r>
      <w:r>
        <w:rPr>
          <w:rFonts w:hint="eastAsia"/>
        </w:rPr>
        <w:t>1</w:t>
      </w:r>
      <w:r>
        <w:rPr>
          <w:rFonts w:hint="eastAsia"/>
        </w:rPr>
        <w:t>年以上金融产品设计、投资、风险管理及相关工作经历的自然人投资者。</w:t>
      </w:r>
    </w:p>
    <w:p w:rsidR="00EC0CCA" w:rsidRDefault="00EC0CCA" w:rsidP="00EC0CCA">
      <w:pPr>
        <w:rPr>
          <w:rFonts w:hint="eastAsia"/>
        </w:rPr>
      </w:pPr>
      <w:r>
        <w:rPr>
          <w:rFonts w:hint="eastAsia"/>
        </w:rPr>
        <w:t xml:space="preserve">　　第十二条</w:t>
      </w:r>
      <w:r>
        <w:rPr>
          <w:rFonts w:hint="eastAsia"/>
        </w:rPr>
        <w:t xml:space="preserve"> </w:t>
      </w:r>
      <w:r>
        <w:rPr>
          <w:rFonts w:hint="eastAsia"/>
        </w:rPr>
        <w:t>普通投资者申请成为专业投资者应当以书面形式向经营机构提出申请并确认自主承担可能产生的风险和后果，提供相关证明材料。</w:t>
      </w:r>
    </w:p>
    <w:p w:rsidR="00EC0CCA" w:rsidRDefault="00EC0CCA" w:rsidP="00EC0CCA">
      <w:pPr>
        <w:rPr>
          <w:rFonts w:hint="eastAsia"/>
        </w:rPr>
      </w:pPr>
      <w:r>
        <w:rPr>
          <w:rFonts w:hint="eastAsia"/>
        </w:rPr>
        <w:t xml:space="preserve">　　经营机构应当通过追加了解信息、投资知识测试或者模拟交易等方式对投资者进行谨慎评估，确认其符合前条要求，说明对不同类别投资者履行适当性义务的差别，警示可能承担</w:t>
      </w:r>
      <w:r>
        <w:rPr>
          <w:rFonts w:hint="eastAsia"/>
        </w:rPr>
        <w:lastRenderedPageBreak/>
        <w:t>的投资风险，告知申请的审查结果及其理由。</w:t>
      </w:r>
    </w:p>
    <w:p w:rsidR="00EC0CCA" w:rsidRDefault="00EC0CCA" w:rsidP="00EC0CCA">
      <w:pPr>
        <w:rPr>
          <w:rFonts w:hint="eastAsia"/>
        </w:rPr>
      </w:pPr>
      <w:r>
        <w:rPr>
          <w:rFonts w:hint="eastAsia"/>
        </w:rPr>
        <w:t xml:space="preserve">　　第十三条</w:t>
      </w:r>
      <w:r>
        <w:rPr>
          <w:rFonts w:hint="eastAsia"/>
        </w:rPr>
        <w:t xml:space="preserve"> </w:t>
      </w:r>
      <w:r>
        <w:rPr>
          <w:rFonts w:hint="eastAsia"/>
        </w:rPr>
        <w:t>经营机构应当告知投资者，其根据本办法第六条规定所提供的信息发生重要变化、可能影响分类的，应及时告知经营机构。经营机构应当建立投资者评估数据库并及时更新，充分使用已了解信息和已有评估结果，避免重复采集，提高评估效率。</w:t>
      </w:r>
    </w:p>
    <w:p w:rsidR="00EC0CCA" w:rsidRDefault="00EC0CCA" w:rsidP="00EC0CCA">
      <w:pPr>
        <w:rPr>
          <w:rFonts w:hint="eastAsia"/>
        </w:rPr>
      </w:pPr>
      <w:r>
        <w:rPr>
          <w:rFonts w:hint="eastAsia"/>
        </w:rPr>
        <w:t xml:space="preserve">　　第十四条</w:t>
      </w:r>
      <w:r>
        <w:rPr>
          <w:rFonts w:hint="eastAsia"/>
        </w:rPr>
        <w:t xml:space="preserve"> </w:t>
      </w:r>
      <w:r>
        <w:rPr>
          <w:rFonts w:hint="eastAsia"/>
        </w:rPr>
        <w:t>中国证监会、自律组织在针对特定市场、产品或者服务制定规则时，可以考虑风险性、复杂性以及投资者的认知难度等因素，从资产规模、收入水平、风险识别能力和风险承担能力、投资认购最低金额等方面，规定投资者准入要求。投资者准入要求包含资产指标的，应当规定投资者在购买产品或者接受服务前一定时期内符合该指标。</w:t>
      </w:r>
    </w:p>
    <w:p w:rsidR="00EC0CCA" w:rsidRDefault="00EC0CCA" w:rsidP="00EC0CCA">
      <w:pPr>
        <w:rPr>
          <w:rFonts w:hint="eastAsia"/>
        </w:rPr>
      </w:pPr>
      <w:r>
        <w:rPr>
          <w:rFonts w:hint="eastAsia"/>
        </w:rPr>
        <w:t xml:space="preserve">　　现有市场、产品或者服务规定投资者准入要求的，应当符合前款规定。</w:t>
      </w:r>
    </w:p>
    <w:p w:rsidR="00EC0CCA" w:rsidRDefault="00EC0CCA" w:rsidP="00EC0CCA">
      <w:pPr>
        <w:rPr>
          <w:rFonts w:hint="eastAsia"/>
        </w:rPr>
      </w:pPr>
      <w:r>
        <w:rPr>
          <w:rFonts w:hint="eastAsia"/>
        </w:rPr>
        <w:t xml:space="preserve">　　第十五条</w:t>
      </w:r>
      <w:r>
        <w:rPr>
          <w:rFonts w:hint="eastAsia"/>
        </w:rPr>
        <w:t xml:space="preserve"> </w:t>
      </w:r>
      <w:r>
        <w:rPr>
          <w:rFonts w:hint="eastAsia"/>
        </w:rPr>
        <w:t>经营机构应当了解所销售产品或者所提供服务的信息，根据风险特征和程度，对销售的产品或者提供的服务划分风险等级。</w:t>
      </w:r>
    </w:p>
    <w:p w:rsidR="00EC0CCA" w:rsidRDefault="00EC0CCA" w:rsidP="00EC0CCA">
      <w:pPr>
        <w:rPr>
          <w:rFonts w:hint="eastAsia"/>
        </w:rPr>
      </w:pPr>
      <w:r>
        <w:rPr>
          <w:rFonts w:hint="eastAsia"/>
        </w:rPr>
        <w:t xml:space="preserve">　　第十六条</w:t>
      </w:r>
      <w:r>
        <w:rPr>
          <w:rFonts w:hint="eastAsia"/>
        </w:rPr>
        <w:t xml:space="preserve"> </w:t>
      </w:r>
      <w:r>
        <w:rPr>
          <w:rFonts w:hint="eastAsia"/>
        </w:rPr>
        <w:t>划分产品或者服务风险等级时应当综合考虑以下因素：</w:t>
      </w:r>
    </w:p>
    <w:p w:rsidR="00EC0CCA" w:rsidRDefault="00EC0CCA" w:rsidP="00EC0CCA">
      <w:pPr>
        <w:rPr>
          <w:rFonts w:hint="eastAsia"/>
        </w:rPr>
      </w:pPr>
      <w:r>
        <w:rPr>
          <w:rFonts w:hint="eastAsia"/>
        </w:rPr>
        <w:t xml:space="preserve">　　（一）流动性；</w:t>
      </w:r>
    </w:p>
    <w:p w:rsidR="00EC0CCA" w:rsidRDefault="00EC0CCA" w:rsidP="00EC0CCA">
      <w:pPr>
        <w:rPr>
          <w:rFonts w:hint="eastAsia"/>
        </w:rPr>
      </w:pPr>
      <w:r>
        <w:rPr>
          <w:rFonts w:hint="eastAsia"/>
        </w:rPr>
        <w:t xml:space="preserve">　　（二）到期时限；</w:t>
      </w:r>
    </w:p>
    <w:p w:rsidR="00EC0CCA" w:rsidRDefault="00EC0CCA" w:rsidP="00EC0CCA">
      <w:pPr>
        <w:rPr>
          <w:rFonts w:hint="eastAsia"/>
        </w:rPr>
      </w:pPr>
      <w:r>
        <w:rPr>
          <w:rFonts w:hint="eastAsia"/>
        </w:rPr>
        <w:t xml:space="preserve">　　（三）杠杆情况；</w:t>
      </w:r>
    </w:p>
    <w:p w:rsidR="00EC0CCA" w:rsidRDefault="00EC0CCA" w:rsidP="00EC0CCA">
      <w:pPr>
        <w:rPr>
          <w:rFonts w:hint="eastAsia"/>
        </w:rPr>
      </w:pPr>
      <w:r>
        <w:rPr>
          <w:rFonts w:hint="eastAsia"/>
        </w:rPr>
        <w:t xml:space="preserve">　　（四）结构复杂性；</w:t>
      </w:r>
    </w:p>
    <w:p w:rsidR="00EC0CCA" w:rsidRDefault="00EC0CCA" w:rsidP="00EC0CCA">
      <w:pPr>
        <w:rPr>
          <w:rFonts w:hint="eastAsia"/>
        </w:rPr>
      </w:pPr>
      <w:r>
        <w:rPr>
          <w:rFonts w:hint="eastAsia"/>
        </w:rPr>
        <w:t xml:space="preserve">　　（五）投资单位产品或者相关服务的最低金额；</w:t>
      </w:r>
    </w:p>
    <w:p w:rsidR="00EC0CCA" w:rsidRDefault="00EC0CCA" w:rsidP="00EC0CCA">
      <w:pPr>
        <w:rPr>
          <w:rFonts w:hint="eastAsia"/>
        </w:rPr>
      </w:pPr>
      <w:r>
        <w:rPr>
          <w:rFonts w:hint="eastAsia"/>
        </w:rPr>
        <w:t xml:space="preserve">　　（六）投资方向和投资范围；</w:t>
      </w:r>
    </w:p>
    <w:p w:rsidR="00EC0CCA" w:rsidRDefault="00EC0CCA" w:rsidP="00EC0CCA">
      <w:pPr>
        <w:rPr>
          <w:rFonts w:hint="eastAsia"/>
        </w:rPr>
      </w:pPr>
      <w:r>
        <w:rPr>
          <w:rFonts w:hint="eastAsia"/>
        </w:rPr>
        <w:t xml:space="preserve">　　（七）募集方式；</w:t>
      </w:r>
    </w:p>
    <w:p w:rsidR="00EC0CCA" w:rsidRDefault="00EC0CCA" w:rsidP="00EC0CCA">
      <w:pPr>
        <w:rPr>
          <w:rFonts w:hint="eastAsia"/>
        </w:rPr>
      </w:pPr>
      <w:r>
        <w:rPr>
          <w:rFonts w:hint="eastAsia"/>
        </w:rPr>
        <w:t xml:space="preserve">　　（八）发行人等相关主体的信用状况；</w:t>
      </w:r>
    </w:p>
    <w:p w:rsidR="00EC0CCA" w:rsidRDefault="00EC0CCA" w:rsidP="00EC0CCA">
      <w:pPr>
        <w:rPr>
          <w:rFonts w:hint="eastAsia"/>
        </w:rPr>
      </w:pPr>
      <w:r>
        <w:rPr>
          <w:rFonts w:hint="eastAsia"/>
        </w:rPr>
        <w:t xml:space="preserve">　　（九）同类产品或者服务过往业绩；</w:t>
      </w:r>
    </w:p>
    <w:p w:rsidR="00EC0CCA" w:rsidRDefault="00EC0CCA" w:rsidP="00EC0CCA">
      <w:pPr>
        <w:rPr>
          <w:rFonts w:hint="eastAsia"/>
        </w:rPr>
      </w:pPr>
      <w:r>
        <w:rPr>
          <w:rFonts w:hint="eastAsia"/>
        </w:rPr>
        <w:t xml:space="preserve">　　（十）其他因素。</w:t>
      </w:r>
    </w:p>
    <w:p w:rsidR="00EC0CCA" w:rsidRDefault="00EC0CCA" w:rsidP="00EC0CCA">
      <w:pPr>
        <w:rPr>
          <w:rFonts w:hint="eastAsia"/>
        </w:rPr>
      </w:pPr>
      <w:r>
        <w:rPr>
          <w:rFonts w:hint="eastAsia"/>
        </w:rPr>
        <w:t xml:space="preserve">　　涉及投资组合的产品或者服务，应当按照产品或者服务整体风险等级进行评估。</w:t>
      </w:r>
    </w:p>
    <w:p w:rsidR="00EC0CCA" w:rsidRDefault="00EC0CCA" w:rsidP="00EC0CCA">
      <w:pPr>
        <w:rPr>
          <w:rFonts w:hint="eastAsia"/>
        </w:rPr>
      </w:pPr>
      <w:r>
        <w:rPr>
          <w:rFonts w:hint="eastAsia"/>
        </w:rPr>
        <w:t xml:space="preserve">　　第十七条</w:t>
      </w:r>
      <w:r>
        <w:rPr>
          <w:rFonts w:hint="eastAsia"/>
        </w:rPr>
        <w:t xml:space="preserve"> </w:t>
      </w:r>
      <w:r>
        <w:rPr>
          <w:rFonts w:hint="eastAsia"/>
        </w:rPr>
        <w:t>产品或者服务存在下列因素的，应当审慎评估其风险等级：</w:t>
      </w:r>
    </w:p>
    <w:p w:rsidR="00EC0CCA" w:rsidRDefault="00EC0CCA" w:rsidP="00EC0CCA">
      <w:pPr>
        <w:rPr>
          <w:rFonts w:hint="eastAsia"/>
        </w:rPr>
      </w:pPr>
      <w:r>
        <w:rPr>
          <w:rFonts w:hint="eastAsia"/>
        </w:rPr>
        <w:t xml:space="preserve">　　（一）存在本金损失的可能性，因杠杆交易等因素容易导致本金大部分或者全部损失的产品或者服务；</w:t>
      </w:r>
    </w:p>
    <w:p w:rsidR="00EC0CCA" w:rsidRDefault="00EC0CCA" w:rsidP="00EC0CCA">
      <w:pPr>
        <w:rPr>
          <w:rFonts w:hint="eastAsia"/>
        </w:rPr>
      </w:pPr>
      <w:r>
        <w:rPr>
          <w:rFonts w:hint="eastAsia"/>
        </w:rPr>
        <w:t xml:space="preserve">　　（二）产品或者服务的流动变现能力，因无公开交易市场、参与投资者少等因素导致难以在短期内以合理价格顺利变现的产品或者服务；</w:t>
      </w:r>
    </w:p>
    <w:p w:rsidR="00EC0CCA" w:rsidRDefault="00EC0CCA" w:rsidP="00EC0CCA">
      <w:pPr>
        <w:rPr>
          <w:rFonts w:hint="eastAsia"/>
        </w:rPr>
      </w:pPr>
      <w:r>
        <w:rPr>
          <w:rFonts w:hint="eastAsia"/>
        </w:rPr>
        <w:t xml:space="preserve">　　（三）产品或者服务的可理解性，因结构复杂、不易估值等因素导致普通人难以理解其条款和特征的产品或者服务；</w:t>
      </w:r>
    </w:p>
    <w:p w:rsidR="00EC0CCA" w:rsidRDefault="00EC0CCA" w:rsidP="00EC0CCA">
      <w:pPr>
        <w:rPr>
          <w:rFonts w:hint="eastAsia"/>
        </w:rPr>
      </w:pPr>
      <w:r>
        <w:rPr>
          <w:rFonts w:hint="eastAsia"/>
        </w:rPr>
        <w:t xml:space="preserve">　　（四）产品或者服务的募集方式，涉及面广、影响力大的公</w:t>
      </w:r>
      <w:proofErr w:type="gramStart"/>
      <w:r>
        <w:rPr>
          <w:rFonts w:hint="eastAsia"/>
        </w:rPr>
        <w:t>募产品</w:t>
      </w:r>
      <w:proofErr w:type="gramEnd"/>
      <w:r>
        <w:rPr>
          <w:rFonts w:hint="eastAsia"/>
        </w:rPr>
        <w:t>或者相关服务；</w:t>
      </w:r>
    </w:p>
    <w:p w:rsidR="00EC0CCA" w:rsidRDefault="00EC0CCA" w:rsidP="00EC0CCA">
      <w:pPr>
        <w:rPr>
          <w:rFonts w:hint="eastAsia"/>
        </w:rPr>
      </w:pPr>
      <w:r>
        <w:rPr>
          <w:rFonts w:hint="eastAsia"/>
        </w:rPr>
        <w:t xml:space="preserve">　　（五）产品或者服务的跨境因素，存在市场差异、适用境外法律等情形的跨境发行或者交易的产品或者服务；</w:t>
      </w:r>
    </w:p>
    <w:p w:rsidR="00EC0CCA" w:rsidRDefault="00EC0CCA" w:rsidP="00EC0CCA">
      <w:pPr>
        <w:rPr>
          <w:rFonts w:hint="eastAsia"/>
        </w:rPr>
      </w:pPr>
      <w:r>
        <w:rPr>
          <w:rFonts w:hint="eastAsia"/>
        </w:rPr>
        <w:t xml:space="preserve">　　（六）自律组织认定的高风险产品或者服务；</w:t>
      </w:r>
    </w:p>
    <w:p w:rsidR="00EC0CCA" w:rsidRDefault="00EC0CCA" w:rsidP="00EC0CCA">
      <w:pPr>
        <w:rPr>
          <w:rFonts w:hint="eastAsia"/>
        </w:rPr>
      </w:pPr>
      <w:r>
        <w:rPr>
          <w:rFonts w:hint="eastAsia"/>
        </w:rPr>
        <w:t xml:space="preserve">　　（七）其他有可能构成投资风险的因素。</w:t>
      </w:r>
    </w:p>
    <w:p w:rsidR="00EC0CCA" w:rsidRDefault="00EC0CCA" w:rsidP="00EC0CCA">
      <w:pPr>
        <w:rPr>
          <w:rFonts w:hint="eastAsia"/>
        </w:rPr>
      </w:pPr>
      <w:r>
        <w:rPr>
          <w:rFonts w:hint="eastAsia"/>
        </w:rPr>
        <w:t xml:space="preserve">　　第十八条</w:t>
      </w:r>
      <w:r>
        <w:rPr>
          <w:rFonts w:hint="eastAsia"/>
        </w:rPr>
        <w:t xml:space="preserve"> </w:t>
      </w:r>
      <w:r>
        <w:rPr>
          <w:rFonts w:hint="eastAsia"/>
        </w:rPr>
        <w:t>经营机构应当根据产品或者服务的不同风险等级，对其适合销售产品或者提供服务的投资者类型</w:t>
      </w:r>
      <w:proofErr w:type="gramStart"/>
      <w:r>
        <w:rPr>
          <w:rFonts w:hint="eastAsia"/>
        </w:rPr>
        <w:t>作出</w:t>
      </w:r>
      <w:proofErr w:type="gramEnd"/>
      <w:r>
        <w:rPr>
          <w:rFonts w:hint="eastAsia"/>
        </w:rPr>
        <w:t>判断，根据投资者的不同分类，对其适合购买的产品或者接受的服务</w:t>
      </w:r>
      <w:proofErr w:type="gramStart"/>
      <w:r>
        <w:rPr>
          <w:rFonts w:hint="eastAsia"/>
        </w:rPr>
        <w:t>作出</w:t>
      </w:r>
      <w:proofErr w:type="gramEnd"/>
      <w:r>
        <w:rPr>
          <w:rFonts w:hint="eastAsia"/>
        </w:rPr>
        <w:t>判断。</w:t>
      </w:r>
    </w:p>
    <w:p w:rsidR="00EC0CCA" w:rsidRDefault="00EC0CCA" w:rsidP="00EC0CCA">
      <w:pPr>
        <w:rPr>
          <w:rFonts w:hint="eastAsia"/>
        </w:rPr>
      </w:pPr>
      <w:r>
        <w:rPr>
          <w:rFonts w:hint="eastAsia"/>
        </w:rPr>
        <w:t xml:space="preserve">　　第十九条</w:t>
      </w:r>
      <w:r>
        <w:rPr>
          <w:rFonts w:hint="eastAsia"/>
        </w:rPr>
        <w:t xml:space="preserve"> </w:t>
      </w:r>
      <w:r>
        <w:rPr>
          <w:rFonts w:hint="eastAsia"/>
        </w:rPr>
        <w:t>经营机构告知投资者不适合购买相关产品或者接受相关服务后，投资者主动要求购买风险等级高于其风险承受能力的产品或者接受相关服务的，经营机构在确认其不属于风险承受能力最低类别的投资者后，应当就产品或者服务风险高于其承受能力进行特别的书面风险警示，投资者仍坚持购买的，可以向其销售相关产品或者提供相关服务。</w:t>
      </w:r>
    </w:p>
    <w:p w:rsidR="00EC0CCA" w:rsidRDefault="00EC0CCA" w:rsidP="00EC0CCA">
      <w:pPr>
        <w:rPr>
          <w:rFonts w:hint="eastAsia"/>
        </w:rPr>
      </w:pPr>
      <w:r>
        <w:rPr>
          <w:rFonts w:hint="eastAsia"/>
        </w:rPr>
        <w:t xml:space="preserve">　　第二十条</w:t>
      </w:r>
      <w:r>
        <w:rPr>
          <w:rFonts w:hint="eastAsia"/>
        </w:rPr>
        <w:t xml:space="preserve"> </w:t>
      </w:r>
      <w:r>
        <w:rPr>
          <w:rFonts w:hint="eastAsia"/>
        </w:rPr>
        <w:t>经营机构向普通投资者销售高风险产品或者提供相关服务，应当履行特别的注意义务，包括制定专门的工作程序，追加了解相关信息，告知特别的风险点，给予普通投</w:t>
      </w:r>
      <w:r>
        <w:rPr>
          <w:rFonts w:hint="eastAsia"/>
        </w:rPr>
        <w:lastRenderedPageBreak/>
        <w:t>资者更多的考虑时间，或者增加回访频次等。</w:t>
      </w:r>
    </w:p>
    <w:p w:rsidR="00EC0CCA" w:rsidRDefault="00EC0CCA" w:rsidP="00EC0CCA">
      <w:pPr>
        <w:rPr>
          <w:rFonts w:hint="eastAsia"/>
        </w:rPr>
      </w:pPr>
      <w:r>
        <w:rPr>
          <w:rFonts w:hint="eastAsia"/>
        </w:rPr>
        <w:t xml:space="preserve">　　第二十一条</w:t>
      </w:r>
      <w:r>
        <w:rPr>
          <w:rFonts w:hint="eastAsia"/>
        </w:rPr>
        <w:t xml:space="preserve"> </w:t>
      </w:r>
      <w:r>
        <w:rPr>
          <w:rFonts w:hint="eastAsia"/>
        </w:rPr>
        <w:t>经营机构应当根据投资者和产品或者服务的信息变化情况，主动调整投资者分类、产品或者服务分级以及适当性匹配意见，并告知投资者上述情况。</w:t>
      </w:r>
    </w:p>
    <w:p w:rsidR="00EC0CCA" w:rsidRDefault="00EC0CCA" w:rsidP="00EC0CCA">
      <w:pPr>
        <w:rPr>
          <w:rFonts w:hint="eastAsia"/>
        </w:rPr>
      </w:pPr>
      <w:r>
        <w:rPr>
          <w:rFonts w:hint="eastAsia"/>
        </w:rPr>
        <w:t xml:space="preserve">　　第二十二条</w:t>
      </w:r>
      <w:r>
        <w:rPr>
          <w:rFonts w:hint="eastAsia"/>
        </w:rPr>
        <w:t xml:space="preserve"> </w:t>
      </w:r>
      <w:r>
        <w:rPr>
          <w:rFonts w:hint="eastAsia"/>
        </w:rPr>
        <w:t>禁止经营机构进行下列销售产品或者提供服务的活动：</w:t>
      </w:r>
    </w:p>
    <w:p w:rsidR="00EC0CCA" w:rsidRDefault="00EC0CCA" w:rsidP="00EC0CCA">
      <w:pPr>
        <w:rPr>
          <w:rFonts w:hint="eastAsia"/>
        </w:rPr>
      </w:pPr>
      <w:r>
        <w:rPr>
          <w:rFonts w:hint="eastAsia"/>
        </w:rPr>
        <w:t xml:space="preserve">　　（一）向不符合准入要求的投资者销售产品或者提供服务；</w:t>
      </w:r>
    </w:p>
    <w:p w:rsidR="00EC0CCA" w:rsidRDefault="00EC0CCA" w:rsidP="00EC0CCA">
      <w:pPr>
        <w:rPr>
          <w:rFonts w:hint="eastAsia"/>
        </w:rPr>
      </w:pPr>
      <w:r>
        <w:rPr>
          <w:rFonts w:hint="eastAsia"/>
        </w:rPr>
        <w:t xml:space="preserve">　　（二）向投资者就不确定事项提供确定性的判断，或者告知投资者有可能使其误认为具有确定性的意见；</w:t>
      </w:r>
    </w:p>
    <w:p w:rsidR="00EC0CCA" w:rsidRDefault="00EC0CCA" w:rsidP="00EC0CCA">
      <w:pPr>
        <w:rPr>
          <w:rFonts w:hint="eastAsia"/>
        </w:rPr>
      </w:pPr>
      <w:r>
        <w:rPr>
          <w:rFonts w:hint="eastAsia"/>
        </w:rPr>
        <w:t xml:space="preserve">　　（三）向普通投资者主动推介风险等级高于其风险承受能力的产品或者服务；</w:t>
      </w:r>
    </w:p>
    <w:p w:rsidR="00EC0CCA" w:rsidRDefault="00EC0CCA" w:rsidP="00EC0CCA">
      <w:pPr>
        <w:rPr>
          <w:rFonts w:hint="eastAsia"/>
        </w:rPr>
      </w:pPr>
      <w:r>
        <w:rPr>
          <w:rFonts w:hint="eastAsia"/>
        </w:rPr>
        <w:t xml:space="preserve">　　（四）向普通投资者主动推介不符合其投资目标的产品或者服务；</w:t>
      </w:r>
    </w:p>
    <w:p w:rsidR="00EC0CCA" w:rsidRDefault="00EC0CCA" w:rsidP="00EC0CCA">
      <w:pPr>
        <w:rPr>
          <w:rFonts w:hint="eastAsia"/>
        </w:rPr>
      </w:pPr>
      <w:r>
        <w:rPr>
          <w:rFonts w:hint="eastAsia"/>
        </w:rPr>
        <w:t xml:space="preserve">　　（五）向风险承受能力最低类别的投资者销售或者提供风险等级高于其风险承受能力的产品或者服务；</w:t>
      </w:r>
    </w:p>
    <w:p w:rsidR="00EC0CCA" w:rsidRDefault="00EC0CCA" w:rsidP="00EC0CCA">
      <w:pPr>
        <w:rPr>
          <w:rFonts w:hint="eastAsia"/>
        </w:rPr>
      </w:pPr>
      <w:r>
        <w:rPr>
          <w:rFonts w:hint="eastAsia"/>
        </w:rPr>
        <w:t xml:space="preserve">　　（六）其他违背适当性要求，损害投资者合法权益的行为。</w:t>
      </w:r>
    </w:p>
    <w:p w:rsidR="00EC0CCA" w:rsidRDefault="00EC0CCA" w:rsidP="00EC0CCA">
      <w:pPr>
        <w:rPr>
          <w:rFonts w:hint="eastAsia"/>
        </w:rPr>
      </w:pPr>
      <w:r>
        <w:rPr>
          <w:rFonts w:hint="eastAsia"/>
        </w:rPr>
        <w:t xml:space="preserve">　　第二十三条</w:t>
      </w:r>
      <w:r>
        <w:rPr>
          <w:rFonts w:hint="eastAsia"/>
        </w:rPr>
        <w:t xml:space="preserve"> </w:t>
      </w:r>
      <w:r>
        <w:rPr>
          <w:rFonts w:hint="eastAsia"/>
        </w:rPr>
        <w:t>经营机构向普通投资者销售产品或者提供服务前，应当告知下列信息：</w:t>
      </w:r>
    </w:p>
    <w:p w:rsidR="00EC0CCA" w:rsidRDefault="00EC0CCA" w:rsidP="00EC0CCA">
      <w:pPr>
        <w:rPr>
          <w:rFonts w:hint="eastAsia"/>
        </w:rPr>
      </w:pPr>
      <w:r>
        <w:rPr>
          <w:rFonts w:hint="eastAsia"/>
        </w:rPr>
        <w:t xml:space="preserve">　　（一）可能直接导致本金亏损的事项；</w:t>
      </w:r>
    </w:p>
    <w:p w:rsidR="00EC0CCA" w:rsidRDefault="00EC0CCA" w:rsidP="00EC0CCA">
      <w:pPr>
        <w:rPr>
          <w:rFonts w:hint="eastAsia"/>
        </w:rPr>
      </w:pPr>
      <w:r>
        <w:rPr>
          <w:rFonts w:hint="eastAsia"/>
        </w:rPr>
        <w:t xml:space="preserve">　　（二）可能直接导致超过原始本金损失的事项；</w:t>
      </w:r>
    </w:p>
    <w:p w:rsidR="00EC0CCA" w:rsidRDefault="00EC0CCA" w:rsidP="00EC0CCA">
      <w:pPr>
        <w:rPr>
          <w:rFonts w:hint="eastAsia"/>
        </w:rPr>
      </w:pPr>
      <w:r>
        <w:rPr>
          <w:rFonts w:hint="eastAsia"/>
        </w:rPr>
        <w:t xml:space="preserve">　　（三）因经营机构的业务或者财产状况变化，可能导致本金或者原始本金亏损的事项；</w:t>
      </w:r>
    </w:p>
    <w:p w:rsidR="00EC0CCA" w:rsidRDefault="00EC0CCA" w:rsidP="00EC0CCA">
      <w:pPr>
        <w:rPr>
          <w:rFonts w:hint="eastAsia"/>
        </w:rPr>
      </w:pPr>
      <w:r>
        <w:rPr>
          <w:rFonts w:hint="eastAsia"/>
        </w:rPr>
        <w:t xml:space="preserve">　　（四）因经营机构的业务或者财产状况变化，影响客户判断的重要事由；</w:t>
      </w:r>
    </w:p>
    <w:p w:rsidR="00EC0CCA" w:rsidRDefault="00EC0CCA" w:rsidP="00EC0CCA">
      <w:pPr>
        <w:rPr>
          <w:rFonts w:hint="eastAsia"/>
        </w:rPr>
      </w:pPr>
      <w:r>
        <w:rPr>
          <w:rFonts w:hint="eastAsia"/>
        </w:rPr>
        <w:t xml:space="preserve">　　（五）限制销售对象权利行使期限或者可解除合同期限等全部限制内容；</w:t>
      </w:r>
    </w:p>
    <w:p w:rsidR="00EC0CCA" w:rsidRDefault="00EC0CCA" w:rsidP="00EC0CCA">
      <w:pPr>
        <w:rPr>
          <w:rFonts w:hint="eastAsia"/>
        </w:rPr>
      </w:pPr>
      <w:r>
        <w:rPr>
          <w:rFonts w:hint="eastAsia"/>
        </w:rPr>
        <w:t xml:space="preserve">　　（六）本办法第二十九条规定的适当性匹配意见。</w:t>
      </w:r>
    </w:p>
    <w:p w:rsidR="00EC0CCA" w:rsidRDefault="00EC0CCA" w:rsidP="00EC0CCA">
      <w:pPr>
        <w:rPr>
          <w:rFonts w:hint="eastAsia"/>
        </w:rPr>
      </w:pPr>
      <w:r>
        <w:rPr>
          <w:rFonts w:hint="eastAsia"/>
        </w:rPr>
        <w:t xml:space="preserve">　　第二十四条</w:t>
      </w:r>
      <w:r>
        <w:rPr>
          <w:rFonts w:hint="eastAsia"/>
        </w:rPr>
        <w:t xml:space="preserve"> </w:t>
      </w:r>
      <w:r>
        <w:rPr>
          <w:rFonts w:hint="eastAsia"/>
        </w:rPr>
        <w:t>经营机构对投资者进行告知、警示，内容应当真实、准确、完整，不存在虚假记载、误导性陈述或者重大遗漏</w:t>
      </w:r>
      <w:r>
        <w:rPr>
          <w:rFonts w:hint="eastAsia"/>
        </w:rPr>
        <w:t>,</w:t>
      </w:r>
      <w:r>
        <w:rPr>
          <w:rFonts w:hint="eastAsia"/>
        </w:rPr>
        <w:t>语言应当通俗易懂；告知、警示应当采用书面形式送达投资者，并由其确认已充分理解和接受。</w:t>
      </w:r>
    </w:p>
    <w:p w:rsidR="00EC0CCA" w:rsidRDefault="00EC0CCA" w:rsidP="00EC0CCA">
      <w:pPr>
        <w:rPr>
          <w:rFonts w:hint="eastAsia"/>
        </w:rPr>
      </w:pPr>
      <w:r>
        <w:rPr>
          <w:rFonts w:hint="eastAsia"/>
        </w:rPr>
        <w:t xml:space="preserve">　　第二十五条</w:t>
      </w:r>
      <w:r>
        <w:rPr>
          <w:rFonts w:hint="eastAsia"/>
        </w:rPr>
        <w:t xml:space="preserve"> </w:t>
      </w:r>
      <w:r>
        <w:rPr>
          <w:rFonts w:hint="eastAsia"/>
        </w:rPr>
        <w:t>经营机构通过营业网点向普通投资者进行本办法第十二条、第二十条、第二十一条和第二十三条规定的告知、警示，应当全过程录音或者录像；通过互联网等非现场方式进行的，经营机构应当完善配套留痕安排，由普通投资者通过符合法律、行政法规要求的电子方式进行确认。</w:t>
      </w:r>
    </w:p>
    <w:p w:rsidR="00EC0CCA" w:rsidRDefault="00EC0CCA" w:rsidP="00EC0CCA">
      <w:pPr>
        <w:rPr>
          <w:rFonts w:hint="eastAsia"/>
        </w:rPr>
      </w:pPr>
      <w:r>
        <w:rPr>
          <w:rFonts w:hint="eastAsia"/>
        </w:rPr>
        <w:t xml:space="preserve">　　第二十六条</w:t>
      </w:r>
      <w:r>
        <w:rPr>
          <w:rFonts w:hint="eastAsia"/>
        </w:rPr>
        <w:t xml:space="preserve"> </w:t>
      </w:r>
      <w:r>
        <w:rPr>
          <w:rFonts w:hint="eastAsia"/>
        </w:rPr>
        <w:t>经营机构委托其他机构销售本机构发行的产品或者提供服务，应当审慎选择受托方，确认受托</w:t>
      </w:r>
      <w:proofErr w:type="gramStart"/>
      <w:r>
        <w:rPr>
          <w:rFonts w:hint="eastAsia"/>
        </w:rPr>
        <w:t>方具备</w:t>
      </w:r>
      <w:proofErr w:type="gramEnd"/>
      <w:r>
        <w:rPr>
          <w:rFonts w:hint="eastAsia"/>
        </w:rPr>
        <w:t>代销相关产品或者提供服务的资格和落实相应适当性义务要求的能力，应当制定并告知代销方所委托产品或者提供服务的适当性管理标准和要求，代销方应当严格执行，但法律、行政法规、中国证监会其他规章另有规定的除外。</w:t>
      </w:r>
    </w:p>
    <w:p w:rsidR="00EC0CCA" w:rsidRDefault="00EC0CCA" w:rsidP="00EC0CCA">
      <w:pPr>
        <w:rPr>
          <w:rFonts w:hint="eastAsia"/>
        </w:rPr>
      </w:pPr>
      <w:r>
        <w:rPr>
          <w:rFonts w:hint="eastAsia"/>
        </w:rPr>
        <w:t xml:space="preserve">　　第二十七条</w:t>
      </w:r>
      <w:r>
        <w:rPr>
          <w:rFonts w:hint="eastAsia"/>
        </w:rPr>
        <w:t xml:space="preserve"> </w:t>
      </w:r>
      <w:r>
        <w:rPr>
          <w:rFonts w:hint="eastAsia"/>
        </w:rPr>
        <w:t>经营机构代销其他机构发行的产品或者提供相关服务，应当在合同中约定要求委托方提供的信息，包括本办法第十六条、第十七条规定的产品或者服务分级考虑因素等，自行对该信息进行调查核实，并履行投资者评估、适当性匹配等适当性义务。委托方不提供规定的信息、提供信息不完整的，经营机构应当拒绝代销产品或者提供服务。</w:t>
      </w:r>
    </w:p>
    <w:p w:rsidR="00EC0CCA" w:rsidRDefault="00EC0CCA" w:rsidP="00EC0CCA">
      <w:pPr>
        <w:rPr>
          <w:rFonts w:hint="eastAsia"/>
        </w:rPr>
      </w:pPr>
      <w:r>
        <w:rPr>
          <w:rFonts w:hint="eastAsia"/>
        </w:rPr>
        <w:t xml:space="preserve">　　第二十八条</w:t>
      </w:r>
      <w:r>
        <w:rPr>
          <w:rFonts w:hint="eastAsia"/>
        </w:rPr>
        <w:t xml:space="preserve"> </w:t>
      </w:r>
      <w:r>
        <w:rPr>
          <w:rFonts w:hint="eastAsia"/>
        </w:rPr>
        <w:t>对在委托销售中违反适当性义务的行为，委托销售机构和受托销售机构应当依法承担相应法律责任，并在委托销售合同中予以明确。</w:t>
      </w:r>
    </w:p>
    <w:p w:rsidR="00EC0CCA" w:rsidRDefault="00EC0CCA" w:rsidP="00EC0CCA">
      <w:pPr>
        <w:rPr>
          <w:rFonts w:hint="eastAsia"/>
        </w:rPr>
      </w:pPr>
      <w:r>
        <w:rPr>
          <w:rFonts w:hint="eastAsia"/>
        </w:rPr>
        <w:t xml:space="preserve">　　第二十九条</w:t>
      </w:r>
      <w:r>
        <w:rPr>
          <w:rFonts w:hint="eastAsia"/>
        </w:rPr>
        <w:t xml:space="preserve"> </w:t>
      </w:r>
      <w:r>
        <w:rPr>
          <w:rFonts w:hint="eastAsia"/>
        </w:rPr>
        <w:t>经营机构应当制定适当性内部管理制度，明确投资者分类、产品或者服务分级、适当性匹配的具体依据、方法、流程等，严格按照内部管理制度进行分类、分级，定期汇总分类、分级结果，并对每名投资者提出匹配意见。</w:t>
      </w:r>
    </w:p>
    <w:p w:rsidR="00EC0CCA" w:rsidRDefault="00EC0CCA" w:rsidP="00EC0CCA">
      <w:pPr>
        <w:rPr>
          <w:rFonts w:hint="eastAsia"/>
        </w:rPr>
      </w:pPr>
      <w:r>
        <w:rPr>
          <w:rFonts w:hint="eastAsia"/>
        </w:rPr>
        <w:t xml:space="preserve">　　经营机构应当制定并严格落实与适当性内部管理有关的限制不匹配销售行为、客户回访检查、评估与销售隔离等风控制度，以及培训考核、执业规范、监督问责等制度机制，不得采取鼓励不适当销售的考核激励措施，确保从业人员切实履行适当性义务。</w:t>
      </w:r>
    </w:p>
    <w:p w:rsidR="00EC0CCA" w:rsidRDefault="00EC0CCA" w:rsidP="00EC0CCA">
      <w:pPr>
        <w:rPr>
          <w:rFonts w:hint="eastAsia"/>
        </w:rPr>
      </w:pPr>
      <w:r>
        <w:rPr>
          <w:rFonts w:hint="eastAsia"/>
        </w:rPr>
        <w:t xml:space="preserve">　　第三十条</w:t>
      </w:r>
      <w:r>
        <w:rPr>
          <w:rFonts w:hint="eastAsia"/>
        </w:rPr>
        <w:t xml:space="preserve"> </w:t>
      </w:r>
      <w:r>
        <w:rPr>
          <w:rFonts w:hint="eastAsia"/>
        </w:rPr>
        <w:t>经营机构应当每半年开展一次适当性自查，形成自查报告。发现违反本办法规定的问题，应当及时处理并主动报告住所</w:t>
      </w:r>
      <w:proofErr w:type="gramStart"/>
      <w:r>
        <w:rPr>
          <w:rFonts w:hint="eastAsia"/>
        </w:rPr>
        <w:t>地中国</w:t>
      </w:r>
      <w:proofErr w:type="gramEnd"/>
      <w:r>
        <w:rPr>
          <w:rFonts w:hint="eastAsia"/>
        </w:rPr>
        <w:t>证监会派出机构。</w:t>
      </w:r>
    </w:p>
    <w:p w:rsidR="00EC0CCA" w:rsidRDefault="00EC0CCA" w:rsidP="00EC0CCA">
      <w:pPr>
        <w:rPr>
          <w:rFonts w:hint="eastAsia"/>
        </w:rPr>
      </w:pPr>
      <w:r>
        <w:rPr>
          <w:rFonts w:hint="eastAsia"/>
        </w:rPr>
        <w:lastRenderedPageBreak/>
        <w:t xml:space="preserve">　　第三十一条</w:t>
      </w:r>
      <w:r>
        <w:rPr>
          <w:rFonts w:hint="eastAsia"/>
        </w:rPr>
        <w:t xml:space="preserve"> </w:t>
      </w:r>
      <w:r>
        <w:rPr>
          <w:rFonts w:hint="eastAsia"/>
        </w:rPr>
        <w:t>鼓励经营机构将投资者分类政策、产品或者服务分级政策、自查报告在公司网站或者指定网站进行披露。</w:t>
      </w:r>
    </w:p>
    <w:p w:rsidR="00EC0CCA" w:rsidRDefault="00EC0CCA" w:rsidP="00EC0CCA">
      <w:pPr>
        <w:rPr>
          <w:rFonts w:hint="eastAsia"/>
        </w:rPr>
      </w:pPr>
      <w:r>
        <w:rPr>
          <w:rFonts w:hint="eastAsia"/>
        </w:rPr>
        <w:t xml:space="preserve">　　第三十二条</w:t>
      </w:r>
      <w:r>
        <w:rPr>
          <w:rFonts w:hint="eastAsia"/>
        </w:rPr>
        <w:t xml:space="preserve"> </w:t>
      </w:r>
      <w:r>
        <w:rPr>
          <w:rFonts w:hint="eastAsia"/>
        </w:rPr>
        <w:t>经营机构应当按照相关规定妥善保存其履行适当性义务的相关信息资料，防止泄露或者被不当利用，接受中国证监会及其派出机构和自律组织的检查。对匹配方案、告知警示资料、录音录像资料、自查报告等的保存期限不得少于</w:t>
      </w:r>
      <w:r>
        <w:rPr>
          <w:rFonts w:hint="eastAsia"/>
        </w:rPr>
        <w:t>20</w:t>
      </w:r>
      <w:r>
        <w:rPr>
          <w:rFonts w:hint="eastAsia"/>
        </w:rPr>
        <w:t>年。</w:t>
      </w:r>
    </w:p>
    <w:p w:rsidR="00EC0CCA" w:rsidRDefault="00EC0CCA" w:rsidP="00EC0CCA">
      <w:pPr>
        <w:rPr>
          <w:rFonts w:hint="eastAsia"/>
        </w:rPr>
      </w:pPr>
      <w:r>
        <w:rPr>
          <w:rFonts w:hint="eastAsia"/>
        </w:rPr>
        <w:t xml:space="preserve">　　第三十三条</w:t>
      </w:r>
      <w:r>
        <w:rPr>
          <w:rFonts w:hint="eastAsia"/>
        </w:rPr>
        <w:t xml:space="preserve"> </w:t>
      </w:r>
      <w:r>
        <w:rPr>
          <w:rFonts w:hint="eastAsia"/>
        </w:rPr>
        <w:t>投资者购买产品或者接受服务，按规定需要提供信息的，所提供的信息应当真实、准确、完整。投资者根据本办法第六条规定所提供的信息发生重要变化、可能影响其分类的，应当及时告知经营机构。</w:t>
      </w:r>
    </w:p>
    <w:p w:rsidR="00EC0CCA" w:rsidRDefault="00EC0CCA" w:rsidP="00EC0CCA">
      <w:pPr>
        <w:rPr>
          <w:rFonts w:hint="eastAsia"/>
        </w:rPr>
      </w:pPr>
      <w:r>
        <w:rPr>
          <w:rFonts w:hint="eastAsia"/>
        </w:rPr>
        <w:t xml:space="preserve">　　投资者不按照规定提供相关信息，提供信息不真实、不准确、不完整的，应当依法承担相应法律责任，经营机构应当告知其后果，并拒绝向其销售产品或者提供服务。</w:t>
      </w:r>
    </w:p>
    <w:p w:rsidR="00EC0CCA" w:rsidRDefault="00EC0CCA" w:rsidP="00EC0CCA">
      <w:pPr>
        <w:rPr>
          <w:rFonts w:hint="eastAsia"/>
        </w:rPr>
      </w:pPr>
      <w:r>
        <w:rPr>
          <w:rFonts w:hint="eastAsia"/>
        </w:rPr>
        <w:t xml:space="preserve">　　第三十四条</w:t>
      </w:r>
      <w:r>
        <w:rPr>
          <w:rFonts w:hint="eastAsia"/>
        </w:rPr>
        <w:t xml:space="preserve"> </w:t>
      </w:r>
      <w:r>
        <w:rPr>
          <w:rFonts w:hint="eastAsia"/>
        </w:rPr>
        <w:t>经营机构应当妥善处理适当性相关的纠纷，与投资者协商解决争议，采取必要措施支持和配合投资者提出的调解。经营机构履行适当性义务存在过错并造成投资者损失的，应当依法承担相应法律责任。</w:t>
      </w:r>
    </w:p>
    <w:p w:rsidR="00EC0CCA" w:rsidRDefault="00EC0CCA" w:rsidP="00EC0CCA">
      <w:pPr>
        <w:rPr>
          <w:rFonts w:hint="eastAsia"/>
        </w:rPr>
      </w:pPr>
      <w:r>
        <w:rPr>
          <w:rFonts w:hint="eastAsia"/>
        </w:rPr>
        <w:t xml:space="preserve">　　经营机构与普通投资者发生纠纷的，经营机构应当提供相关资料，证明其已向投资者履行相应义务。</w:t>
      </w:r>
    </w:p>
    <w:p w:rsidR="00EC0CCA" w:rsidRDefault="00EC0CCA" w:rsidP="00EC0CCA">
      <w:pPr>
        <w:rPr>
          <w:rFonts w:hint="eastAsia"/>
        </w:rPr>
      </w:pPr>
      <w:r>
        <w:rPr>
          <w:rFonts w:hint="eastAsia"/>
        </w:rPr>
        <w:t xml:space="preserve">　　第三十五条</w:t>
      </w:r>
      <w:r>
        <w:rPr>
          <w:rFonts w:hint="eastAsia"/>
        </w:rPr>
        <w:t xml:space="preserve"> </w:t>
      </w:r>
      <w:r>
        <w:rPr>
          <w:rFonts w:hint="eastAsia"/>
        </w:rPr>
        <w:t>中国证监会及其派出机构在监管中应当审核或者关注产品或者服务的适当性安排，</w:t>
      </w:r>
      <w:proofErr w:type="gramStart"/>
      <w:r>
        <w:rPr>
          <w:rFonts w:hint="eastAsia"/>
        </w:rPr>
        <w:t>对适当</w:t>
      </w:r>
      <w:proofErr w:type="gramEnd"/>
      <w:r>
        <w:rPr>
          <w:rFonts w:hint="eastAsia"/>
        </w:rPr>
        <w:t>性制度落实情况进行检查，督促经营机构严格落实适当性义务，强化适当性管理。</w:t>
      </w:r>
    </w:p>
    <w:p w:rsidR="00EC0CCA" w:rsidRDefault="00EC0CCA" w:rsidP="00EC0CCA">
      <w:pPr>
        <w:rPr>
          <w:rFonts w:hint="eastAsia"/>
        </w:rPr>
      </w:pPr>
      <w:r>
        <w:rPr>
          <w:rFonts w:hint="eastAsia"/>
        </w:rPr>
        <w:t xml:space="preserve">　　第三十六条</w:t>
      </w:r>
      <w:r>
        <w:rPr>
          <w:rFonts w:hint="eastAsia"/>
        </w:rPr>
        <w:t xml:space="preserve"> </w:t>
      </w:r>
      <w:r>
        <w:rPr>
          <w:rFonts w:hint="eastAsia"/>
        </w:rPr>
        <w:t>证券期货交易场所应当制定完善本市场相关产品或者服务的适当性管理自律规则。</w:t>
      </w:r>
    </w:p>
    <w:p w:rsidR="00EC0CCA" w:rsidRDefault="00EC0CCA" w:rsidP="00EC0CCA">
      <w:pPr>
        <w:rPr>
          <w:rFonts w:hint="eastAsia"/>
        </w:rPr>
      </w:pPr>
      <w:r>
        <w:rPr>
          <w:rFonts w:hint="eastAsia"/>
        </w:rPr>
        <w:t xml:space="preserve">　　行业协会应当制定完善会员落实适当性管理要求的自律规则，制定并定期更新本行业的产品或者服务风险等级名录以及本办法第十九条、第二十二条规定的风险承受能力最低的投资者类别，</w:t>
      </w:r>
      <w:proofErr w:type="gramStart"/>
      <w:r>
        <w:rPr>
          <w:rFonts w:hint="eastAsia"/>
        </w:rPr>
        <w:t>供经营</w:t>
      </w:r>
      <w:proofErr w:type="gramEnd"/>
      <w:r>
        <w:rPr>
          <w:rFonts w:hint="eastAsia"/>
        </w:rPr>
        <w:t>机构参考。经营机构评估相关产品或者服务的风险等级不得低于名录规定的风险等级。</w:t>
      </w:r>
    </w:p>
    <w:p w:rsidR="00EC0CCA" w:rsidRDefault="00EC0CCA" w:rsidP="00EC0CCA">
      <w:pPr>
        <w:rPr>
          <w:rFonts w:hint="eastAsia"/>
        </w:rPr>
      </w:pPr>
      <w:r>
        <w:rPr>
          <w:rFonts w:hint="eastAsia"/>
        </w:rPr>
        <w:t xml:space="preserve">　　证券期货交易场所、行业协会应当督促、引导会员履行适当性义务，对备案产品或者相关服务应当重点关注高风险产品或者服务的适当性安排。</w:t>
      </w:r>
    </w:p>
    <w:p w:rsidR="00EC0CCA" w:rsidRDefault="00EC0CCA" w:rsidP="00EC0CCA">
      <w:pPr>
        <w:rPr>
          <w:rFonts w:hint="eastAsia"/>
        </w:rPr>
      </w:pPr>
      <w:r>
        <w:rPr>
          <w:rFonts w:hint="eastAsia"/>
        </w:rPr>
        <w:t xml:space="preserve">　　第三十七条</w:t>
      </w:r>
      <w:r>
        <w:rPr>
          <w:rFonts w:hint="eastAsia"/>
        </w:rPr>
        <w:t xml:space="preserve"> </w:t>
      </w:r>
      <w:r>
        <w:rPr>
          <w:rFonts w:hint="eastAsia"/>
        </w:rPr>
        <w:t>经营机构违反本办法规定的，中国证监会及其派出机构可以对经营机构及其直接负责的主管人员和其他直接责任人员，采取责令改正、监管谈话、出具警示函、责令参加培训等监督管理措施。</w:t>
      </w:r>
    </w:p>
    <w:p w:rsidR="00EC0CCA" w:rsidRDefault="00EC0CCA" w:rsidP="00EC0CCA">
      <w:pPr>
        <w:rPr>
          <w:rFonts w:hint="eastAsia"/>
        </w:rPr>
      </w:pPr>
      <w:r>
        <w:rPr>
          <w:rFonts w:hint="eastAsia"/>
        </w:rPr>
        <w:t xml:space="preserve">　　第三十八条</w:t>
      </w:r>
      <w:r>
        <w:rPr>
          <w:rFonts w:hint="eastAsia"/>
        </w:rPr>
        <w:t xml:space="preserve"> </w:t>
      </w:r>
      <w:r>
        <w:rPr>
          <w:rFonts w:hint="eastAsia"/>
        </w:rPr>
        <w:t>证券公司、期货公司违反本办法规定，存在较大风险或者风险隐患的，中国证监会及其派出机构可以按照《证券公司监督管理条例》第七十条、《期货交易管理条例》第五十五条的规定，采取监督管理措施。</w:t>
      </w:r>
    </w:p>
    <w:p w:rsidR="00EC0CCA" w:rsidRDefault="00EC0CCA" w:rsidP="00EC0CCA">
      <w:pPr>
        <w:rPr>
          <w:rFonts w:hint="eastAsia"/>
        </w:rPr>
      </w:pPr>
      <w:r>
        <w:rPr>
          <w:rFonts w:hint="eastAsia"/>
        </w:rPr>
        <w:t xml:space="preserve">　　第三十九条</w:t>
      </w:r>
      <w:r>
        <w:rPr>
          <w:rFonts w:hint="eastAsia"/>
        </w:rPr>
        <w:t xml:space="preserve"> </w:t>
      </w:r>
      <w:r>
        <w:rPr>
          <w:rFonts w:hint="eastAsia"/>
        </w:rPr>
        <w:t>违反本办法第六条、第十八条、第十九条、第二十条、第二十一条、第二十二条第（三）项至第（六）项、第二十三条、第二十四条、第三十三条规定的，按照《证券投资基金法》第一百三十七条、《证券公司监督管理条例》第八十四条、《期货交易管理条例》第六十七条予以处理。</w:t>
      </w:r>
    </w:p>
    <w:p w:rsidR="00EC0CCA" w:rsidRDefault="00EC0CCA" w:rsidP="00EC0CCA">
      <w:pPr>
        <w:rPr>
          <w:rFonts w:hint="eastAsia"/>
        </w:rPr>
      </w:pPr>
      <w:r>
        <w:rPr>
          <w:rFonts w:hint="eastAsia"/>
        </w:rPr>
        <w:t xml:space="preserve">　　第四十条</w:t>
      </w:r>
      <w:r>
        <w:rPr>
          <w:rFonts w:hint="eastAsia"/>
        </w:rPr>
        <w:t xml:space="preserve"> </w:t>
      </w:r>
      <w:r>
        <w:rPr>
          <w:rFonts w:hint="eastAsia"/>
        </w:rPr>
        <w:t>违反本办法第二十二条第（一）项至第（二）项、第二十六条、第二十七条规定的，按照《证券投资基金法》第一百三十五条、《证券公司监督管理条例》第八十三条、《期货交易管理条例》第六十六条予以处理。</w:t>
      </w:r>
    </w:p>
    <w:p w:rsidR="00EC0CCA" w:rsidRDefault="00EC0CCA" w:rsidP="00EC0CCA">
      <w:pPr>
        <w:rPr>
          <w:rFonts w:hint="eastAsia"/>
        </w:rPr>
      </w:pPr>
      <w:r>
        <w:rPr>
          <w:rFonts w:hint="eastAsia"/>
        </w:rPr>
        <w:t xml:space="preserve">　　第四十一条</w:t>
      </w:r>
      <w:r>
        <w:rPr>
          <w:rFonts w:hint="eastAsia"/>
        </w:rPr>
        <w:t xml:space="preserve"> </w:t>
      </w:r>
      <w:r>
        <w:rPr>
          <w:rFonts w:hint="eastAsia"/>
        </w:rPr>
        <w:t>经营机构有下列情形之一的，给予警告，并处以</w:t>
      </w:r>
      <w:r>
        <w:rPr>
          <w:rFonts w:hint="eastAsia"/>
        </w:rPr>
        <w:t>3</w:t>
      </w:r>
      <w:r>
        <w:rPr>
          <w:rFonts w:hint="eastAsia"/>
        </w:rPr>
        <w:t>万元以下罚款；对直接负责的主管人员和其他直接责任人员，给予警告，并处以</w:t>
      </w:r>
      <w:r>
        <w:rPr>
          <w:rFonts w:hint="eastAsia"/>
        </w:rPr>
        <w:t>3</w:t>
      </w:r>
      <w:r>
        <w:rPr>
          <w:rFonts w:hint="eastAsia"/>
        </w:rPr>
        <w:t>万元以下罚款：</w:t>
      </w:r>
    </w:p>
    <w:p w:rsidR="00EC0CCA" w:rsidRDefault="00EC0CCA" w:rsidP="00EC0CCA">
      <w:pPr>
        <w:rPr>
          <w:rFonts w:hint="eastAsia"/>
        </w:rPr>
      </w:pPr>
      <w:r>
        <w:rPr>
          <w:rFonts w:hint="eastAsia"/>
        </w:rPr>
        <w:t xml:space="preserve">　　（一）违反本办法第十条，未按规定对普通投资者进行细化分类和管理的；</w:t>
      </w:r>
    </w:p>
    <w:p w:rsidR="00EC0CCA" w:rsidRDefault="00EC0CCA" w:rsidP="00EC0CCA">
      <w:pPr>
        <w:rPr>
          <w:rFonts w:hint="eastAsia"/>
        </w:rPr>
      </w:pPr>
      <w:r>
        <w:rPr>
          <w:rFonts w:hint="eastAsia"/>
        </w:rPr>
        <w:t xml:space="preserve">　　（二）违反本办法第十一条、第十二条，未按规定进行投资者类别转化的；</w:t>
      </w:r>
    </w:p>
    <w:p w:rsidR="00EC0CCA" w:rsidRDefault="00EC0CCA" w:rsidP="00EC0CCA">
      <w:pPr>
        <w:rPr>
          <w:rFonts w:hint="eastAsia"/>
        </w:rPr>
      </w:pPr>
      <w:r>
        <w:rPr>
          <w:rFonts w:hint="eastAsia"/>
        </w:rPr>
        <w:t xml:space="preserve">　　（三）违反本办法第十三条，未建立或者更新投资者评估数据库的；</w:t>
      </w:r>
    </w:p>
    <w:p w:rsidR="00EC0CCA" w:rsidRDefault="00EC0CCA" w:rsidP="00EC0CCA">
      <w:pPr>
        <w:rPr>
          <w:rFonts w:hint="eastAsia"/>
        </w:rPr>
      </w:pPr>
      <w:r>
        <w:rPr>
          <w:rFonts w:hint="eastAsia"/>
        </w:rPr>
        <w:lastRenderedPageBreak/>
        <w:t xml:space="preserve">　　（四）违反本办法第十五条，未按规定了解所销售产品或者所提供服务信息或者履行分级义务的；</w:t>
      </w:r>
    </w:p>
    <w:p w:rsidR="00EC0CCA" w:rsidRDefault="00EC0CCA" w:rsidP="00EC0CCA">
      <w:pPr>
        <w:rPr>
          <w:rFonts w:hint="eastAsia"/>
        </w:rPr>
      </w:pPr>
      <w:r>
        <w:rPr>
          <w:rFonts w:hint="eastAsia"/>
        </w:rPr>
        <w:t xml:space="preserve">　　（五）违反本办法第十六条、第十七条，未按规定划分产品或者服务风险等级的；</w:t>
      </w:r>
    </w:p>
    <w:p w:rsidR="00EC0CCA" w:rsidRDefault="00EC0CCA" w:rsidP="00EC0CCA">
      <w:pPr>
        <w:rPr>
          <w:rFonts w:hint="eastAsia"/>
        </w:rPr>
      </w:pPr>
      <w:r>
        <w:rPr>
          <w:rFonts w:hint="eastAsia"/>
        </w:rPr>
        <w:t xml:space="preserve">　　（六）违反本办法第二十五条，未按规定录音录像或者采取配套留痕安排的；</w:t>
      </w:r>
    </w:p>
    <w:p w:rsidR="00EC0CCA" w:rsidRDefault="00EC0CCA" w:rsidP="00EC0CCA">
      <w:pPr>
        <w:rPr>
          <w:rFonts w:hint="eastAsia"/>
        </w:rPr>
      </w:pPr>
      <w:r>
        <w:rPr>
          <w:rFonts w:hint="eastAsia"/>
        </w:rPr>
        <w:t xml:space="preserve">　　（七）违反本办法第二十九条，未按规定制定或者落实适当性内部管理制度和相关制度机制的；</w:t>
      </w:r>
    </w:p>
    <w:p w:rsidR="00EC0CCA" w:rsidRDefault="00EC0CCA" w:rsidP="00EC0CCA">
      <w:pPr>
        <w:rPr>
          <w:rFonts w:hint="eastAsia"/>
        </w:rPr>
      </w:pPr>
      <w:r>
        <w:rPr>
          <w:rFonts w:hint="eastAsia"/>
        </w:rPr>
        <w:t xml:space="preserve">　　（八）违反本办法第三十条，未按规定开展适当性自查的；</w:t>
      </w:r>
    </w:p>
    <w:p w:rsidR="00EC0CCA" w:rsidRDefault="00EC0CCA" w:rsidP="00EC0CCA">
      <w:pPr>
        <w:rPr>
          <w:rFonts w:hint="eastAsia"/>
        </w:rPr>
      </w:pPr>
      <w:r>
        <w:rPr>
          <w:rFonts w:hint="eastAsia"/>
        </w:rPr>
        <w:t xml:space="preserve">　　（九）违反本办法第三十二条，未按规定妥善保存相关信息资料的；</w:t>
      </w:r>
    </w:p>
    <w:p w:rsidR="00EC0CCA" w:rsidRDefault="00EC0CCA" w:rsidP="00EC0CCA">
      <w:pPr>
        <w:rPr>
          <w:rFonts w:hint="eastAsia"/>
        </w:rPr>
      </w:pPr>
      <w:r>
        <w:rPr>
          <w:rFonts w:hint="eastAsia"/>
        </w:rPr>
        <w:t xml:space="preserve">　　（十）违反本办法第六条、第十八条至第二十四条、第二十六条、第二十七条、第三十三条规定，未构成《证券投资基金法》第一百三十五条、第一百三十七条，《证券公司监督管理条例》第八十三条、第八十四条，《期货交易管理条例》第六十六条、第六十七条规定情形的。</w:t>
      </w:r>
    </w:p>
    <w:p w:rsidR="00EC0CCA" w:rsidRDefault="00EC0CCA" w:rsidP="00EC0CCA">
      <w:pPr>
        <w:rPr>
          <w:rFonts w:hint="eastAsia"/>
        </w:rPr>
      </w:pPr>
      <w:r>
        <w:rPr>
          <w:rFonts w:hint="eastAsia"/>
        </w:rPr>
        <w:t xml:space="preserve">　　第四十二条</w:t>
      </w:r>
      <w:r>
        <w:rPr>
          <w:rFonts w:hint="eastAsia"/>
        </w:rPr>
        <w:t xml:space="preserve"> </w:t>
      </w:r>
      <w:r>
        <w:rPr>
          <w:rFonts w:hint="eastAsia"/>
        </w:rPr>
        <w:t>经营机构从业人员违反相关法律法规和本办法规定，情节严重的，中国证监会可以依法采取市场禁入的措施。</w:t>
      </w:r>
    </w:p>
    <w:p w:rsidR="00EC0CCA" w:rsidRPr="00EC0CCA" w:rsidRDefault="00EC0CCA" w:rsidP="00EC0CCA">
      <w:r>
        <w:rPr>
          <w:rFonts w:hint="eastAsia"/>
        </w:rPr>
        <w:t xml:space="preserve">　　第四十三条</w:t>
      </w:r>
      <w:r>
        <w:rPr>
          <w:rFonts w:hint="eastAsia"/>
        </w:rPr>
        <w:t xml:space="preserve"> </w:t>
      </w:r>
      <w:r>
        <w:rPr>
          <w:rFonts w:hint="eastAsia"/>
        </w:rPr>
        <w:t>本办法自</w:t>
      </w:r>
      <w:r>
        <w:rPr>
          <w:rFonts w:hint="eastAsia"/>
        </w:rPr>
        <w:t>2017</w:t>
      </w:r>
      <w:r>
        <w:rPr>
          <w:rFonts w:hint="eastAsia"/>
        </w:rPr>
        <w:t>年</w:t>
      </w:r>
      <w:r>
        <w:rPr>
          <w:rFonts w:hint="eastAsia"/>
        </w:rPr>
        <w:t>7</w:t>
      </w:r>
      <w:r>
        <w:rPr>
          <w:rFonts w:hint="eastAsia"/>
        </w:rPr>
        <w:t>月</w:t>
      </w:r>
      <w:r>
        <w:rPr>
          <w:rFonts w:hint="eastAsia"/>
        </w:rPr>
        <w:t>1</w:t>
      </w:r>
      <w:r>
        <w:rPr>
          <w:rFonts w:hint="eastAsia"/>
        </w:rPr>
        <w:t>日起施行。</w:t>
      </w:r>
    </w:p>
    <w:sectPr w:rsidR="00EC0CCA" w:rsidRPr="00EC0C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D64" w:rsidRDefault="005F6D64" w:rsidP="00EC0CCA">
      <w:r>
        <w:separator/>
      </w:r>
    </w:p>
  </w:endnote>
  <w:endnote w:type="continuationSeparator" w:id="0">
    <w:p w:rsidR="005F6D64" w:rsidRDefault="005F6D64" w:rsidP="00EC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D64" w:rsidRDefault="005F6D64" w:rsidP="00EC0CCA">
      <w:r>
        <w:separator/>
      </w:r>
    </w:p>
  </w:footnote>
  <w:footnote w:type="continuationSeparator" w:id="0">
    <w:p w:rsidR="005F6D64" w:rsidRDefault="005F6D64" w:rsidP="00EC0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6BF5"/>
    <w:rsid w:val="00193C22"/>
    <w:rsid w:val="004A54C1"/>
    <w:rsid w:val="005F6D64"/>
    <w:rsid w:val="00CA6BF5"/>
    <w:rsid w:val="00EC0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0C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0CCA"/>
    <w:rPr>
      <w:sz w:val="18"/>
      <w:szCs w:val="18"/>
    </w:rPr>
  </w:style>
  <w:style w:type="paragraph" w:styleId="a4">
    <w:name w:val="footer"/>
    <w:basedOn w:val="a"/>
    <w:link w:val="Char0"/>
    <w:uiPriority w:val="99"/>
    <w:unhideWhenUsed/>
    <w:rsid w:val="00EC0CCA"/>
    <w:pPr>
      <w:tabs>
        <w:tab w:val="center" w:pos="4153"/>
        <w:tab w:val="right" w:pos="8306"/>
      </w:tabs>
      <w:snapToGrid w:val="0"/>
      <w:jc w:val="left"/>
    </w:pPr>
    <w:rPr>
      <w:sz w:val="18"/>
      <w:szCs w:val="18"/>
    </w:rPr>
  </w:style>
  <w:style w:type="character" w:customStyle="1" w:styleId="Char0">
    <w:name w:val="页脚 Char"/>
    <w:basedOn w:val="a0"/>
    <w:link w:val="a4"/>
    <w:uiPriority w:val="99"/>
    <w:rsid w:val="00EC0C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108617">
      <w:bodyDiv w:val="1"/>
      <w:marLeft w:val="0"/>
      <w:marRight w:val="0"/>
      <w:marTop w:val="0"/>
      <w:marBottom w:val="0"/>
      <w:divBdr>
        <w:top w:val="none" w:sz="0" w:space="0" w:color="auto"/>
        <w:left w:val="none" w:sz="0" w:space="0" w:color="auto"/>
        <w:bottom w:val="none" w:sz="0" w:space="0" w:color="auto"/>
        <w:right w:val="none" w:sz="0" w:space="0" w:color="auto"/>
      </w:divBdr>
      <w:divsChild>
        <w:div w:id="1651517508">
          <w:marLeft w:val="0"/>
          <w:marRight w:val="0"/>
          <w:marTop w:val="0"/>
          <w:marBottom w:val="0"/>
          <w:divBdr>
            <w:top w:val="none" w:sz="0" w:space="0" w:color="auto"/>
            <w:left w:val="none" w:sz="0" w:space="0" w:color="auto"/>
            <w:bottom w:val="none" w:sz="0" w:space="0" w:color="auto"/>
            <w:right w:val="none" w:sz="0" w:space="0" w:color="auto"/>
          </w:divBdr>
          <w:divsChild>
            <w:div w:id="893849714">
              <w:marLeft w:val="0"/>
              <w:marRight w:val="0"/>
              <w:marTop w:val="0"/>
              <w:marBottom w:val="0"/>
              <w:divBdr>
                <w:top w:val="none" w:sz="0" w:space="0" w:color="auto"/>
                <w:left w:val="none" w:sz="0" w:space="0" w:color="auto"/>
                <w:bottom w:val="none" w:sz="0" w:space="0" w:color="auto"/>
                <w:right w:val="none" w:sz="0" w:space="0" w:color="auto"/>
              </w:divBdr>
              <w:divsChild>
                <w:div w:id="1806773409">
                  <w:marLeft w:val="95"/>
                  <w:marRight w:val="95"/>
                  <w:marTop w:val="0"/>
                  <w:marBottom w:val="0"/>
                  <w:divBdr>
                    <w:top w:val="none" w:sz="0" w:space="0" w:color="auto"/>
                    <w:left w:val="none" w:sz="0" w:space="0" w:color="auto"/>
                    <w:bottom w:val="none" w:sz="0" w:space="0" w:color="auto"/>
                    <w:right w:val="none" w:sz="0" w:space="0" w:color="auto"/>
                  </w:divBdr>
                  <w:divsChild>
                    <w:div w:id="125393322">
                      <w:marLeft w:val="0"/>
                      <w:marRight w:val="0"/>
                      <w:marTop w:val="0"/>
                      <w:marBottom w:val="0"/>
                      <w:divBdr>
                        <w:top w:val="none" w:sz="0" w:space="0" w:color="auto"/>
                        <w:left w:val="none" w:sz="0" w:space="0" w:color="auto"/>
                        <w:bottom w:val="none" w:sz="0" w:space="0" w:color="auto"/>
                        <w:right w:val="none" w:sz="0" w:space="0" w:color="auto"/>
                      </w:divBdr>
                      <w:divsChild>
                        <w:div w:id="788084088">
                          <w:marLeft w:val="0"/>
                          <w:marRight w:val="0"/>
                          <w:marTop w:val="0"/>
                          <w:marBottom w:val="0"/>
                          <w:divBdr>
                            <w:top w:val="none" w:sz="0" w:space="0" w:color="auto"/>
                            <w:left w:val="none" w:sz="0" w:space="0" w:color="auto"/>
                            <w:bottom w:val="single" w:sz="12" w:space="10" w:color="CCCCCC"/>
                            <w:right w:val="none" w:sz="0" w:space="0" w:color="auto"/>
                          </w:divBdr>
                        </w:div>
                        <w:div w:id="1152528544">
                          <w:marLeft w:val="0"/>
                          <w:marRight w:val="0"/>
                          <w:marTop w:val="0"/>
                          <w:marBottom w:val="272"/>
                          <w:divBdr>
                            <w:top w:val="none" w:sz="0" w:space="0" w:color="auto"/>
                            <w:left w:val="none" w:sz="0" w:space="0" w:color="auto"/>
                            <w:bottom w:val="none" w:sz="0" w:space="0" w:color="auto"/>
                            <w:right w:val="none" w:sz="0" w:space="0" w:color="auto"/>
                          </w:divBdr>
                        </w:div>
                        <w:div w:id="449860280">
                          <w:marLeft w:val="0"/>
                          <w:marRight w:val="0"/>
                          <w:marTop w:val="0"/>
                          <w:marBottom w:val="0"/>
                          <w:divBdr>
                            <w:top w:val="none" w:sz="0" w:space="0" w:color="auto"/>
                            <w:left w:val="none" w:sz="0" w:space="0" w:color="auto"/>
                            <w:bottom w:val="none" w:sz="0" w:space="0" w:color="auto"/>
                            <w:right w:val="none" w:sz="0" w:space="0" w:color="auto"/>
                          </w:divBdr>
                          <w:divsChild>
                            <w:div w:id="1854998059">
                              <w:marLeft w:val="0"/>
                              <w:marRight w:val="0"/>
                              <w:marTop w:val="82"/>
                              <w:marBottom w:val="8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229827">
      <w:bodyDiv w:val="1"/>
      <w:marLeft w:val="0"/>
      <w:marRight w:val="0"/>
      <w:marTop w:val="0"/>
      <w:marBottom w:val="0"/>
      <w:divBdr>
        <w:top w:val="none" w:sz="0" w:space="0" w:color="auto"/>
        <w:left w:val="none" w:sz="0" w:space="0" w:color="auto"/>
        <w:bottom w:val="none" w:sz="0" w:space="0" w:color="auto"/>
        <w:right w:val="none" w:sz="0" w:space="0" w:color="auto"/>
      </w:divBdr>
      <w:divsChild>
        <w:div w:id="413361915">
          <w:marLeft w:val="0"/>
          <w:marRight w:val="0"/>
          <w:marTop w:val="0"/>
          <w:marBottom w:val="150"/>
          <w:divBdr>
            <w:top w:val="none" w:sz="0" w:space="0" w:color="auto"/>
            <w:left w:val="none" w:sz="0" w:space="0" w:color="auto"/>
            <w:bottom w:val="single" w:sz="6" w:space="0" w:color="CBCBCB"/>
            <w:right w:val="none" w:sz="0" w:space="0" w:color="auto"/>
          </w:divBdr>
        </w:div>
        <w:div w:id="1452477714">
          <w:marLeft w:val="150"/>
          <w:marRight w:val="15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1296</Words>
  <Characters>7389</Characters>
  <Application>Microsoft Office Word</Application>
  <DocSecurity>0</DocSecurity>
  <Lines>61</Lines>
  <Paragraphs>17</Paragraphs>
  <ScaleCrop>false</ScaleCrop>
  <Company>微软中国</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刘善斌</dc:creator>
  <cp:keywords/>
  <dc:description/>
  <cp:lastModifiedBy>刘丽珠</cp:lastModifiedBy>
  <cp:revision>4</cp:revision>
  <dcterms:created xsi:type="dcterms:W3CDTF">2017-03-13T09:41:00Z</dcterms:created>
  <dcterms:modified xsi:type="dcterms:W3CDTF">2017-03-14T01:12:00Z</dcterms:modified>
</cp:coreProperties>
</file>