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3B" w:rsidRPr="00244B3B" w:rsidRDefault="00244B3B" w:rsidP="00244B3B">
      <w:pPr>
        <w:widowControl/>
        <w:shd w:val="clear" w:color="auto" w:fill="FFFFFF"/>
        <w:spacing w:line="525" w:lineRule="atLeast"/>
        <w:jc w:val="center"/>
        <w:rPr>
          <w:rFonts w:ascii="微软雅黑" w:eastAsia="微软雅黑" w:hAnsi="微软雅黑" w:cs="宋体"/>
          <w:b/>
          <w:bCs/>
          <w:color w:val="0C5CB1"/>
          <w:kern w:val="0"/>
          <w:sz w:val="30"/>
          <w:szCs w:val="30"/>
        </w:rPr>
      </w:pPr>
      <w:r w:rsidRPr="00244B3B">
        <w:rPr>
          <w:rFonts w:ascii="微软雅黑" w:eastAsia="微软雅黑" w:hAnsi="微软雅黑" w:cs="宋体" w:hint="eastAsia"/>
          <w:b/>
          <w:bCs/>
          <w:color w:val="0C5CB1"/>
          <w:kern w:val="0"/>
          <w:sz w:val="30"/>
          <w:szCs w:val="30"/>
        </w:rPr>
        <w:t>投资者保护·明规则、识风险</w:t>
      </w:r>
      <w:proofErr w:type="gramStart"/>
      <w:r w:rsidRPr="00244B3B">
        <w:rPr>
          <w:rFonts w:ascii="微软雅黑" w:eastAsia="微软雅黑" w:hAnsi="微软雅黑" w:cs="宋体" w:hint="eastAsia"/>
          <w:b/>
          <w:bCs/>
          <w:color w:val="0C5CB1"/>
          <w:kern w:val="0"/>
          <w:sz w:val="30"/>
          <w:szCs w:val="30"/>
        </w:rPr>
        <w:t>”</w:t>
      </w:r>
      <w:proofErr w:type="gramEnd"/>
      <w:r w:rsidRPr="00244B3B">
        <w:rPr>
          <w:rFonts w:ascii="微软雅黑" w:eastAsia="微软雅黑" w:hAnsi="微软雅黑" w:cs="宋体" w:hint="eastAsia"/>
          <w:b/>
          <w:bCs/>
          <w:color w:val="0C5CB1"/>
          <w:kern w:val="0"/>
          <w:sz w:val="30"/>
          <w:szCs w:val="30"/>
        </w:rPr>
        <w:t>案例——慎防上市公司动机不纯的“高送转”</w:t>
      </w:r>
    </w:p>
    <w:p w:rsidR="00244B3B" w:rsidRPr="00244B3B" w:rsidRDefault="00244B3B" w:rsidP="00244B3B">
      <w:pPr>
        <w:widowControl/>
        <w:shd w:val="clear" w:color="auto" w:fill="FFFFFF"/>
        <w:spacing w:line="480" w:lineRule="auto"/>
        <w:jc w:val="center"/>
        <w:rPr>
          <w:rFonts w:ascii="inherit" w:eastAsia="宋体" w:hAnsi="inherit" w:cs="宋体" w:hint="eastAsia"/>
          <w:color w:val="888888"/>
          <w:kern w:val="0"/>
          <w:sz w:val="18"/>
          <w:szCs w:val="18"/>
        </w:rPr>
      </w:pPr>
      <w:r w:rsidRPr="00244B3B">
        <w:rPr>
          <w:rFonts w:ascii="inherit" w:eastAsia="宋体" w:hAnsi="inherit" w:cs="宋体"/>
          <w:color w:val="888888"/>
          <w:kern w:val="0"/>
          <w:sz w:val="18"/>
          <w:szCs w:val="18"/>
        </w:rPr>
        <w:t>中国证监会</w:t>
      </w:r>
      <w:r w:rsidRPr="00244B3B">
        <w:rPr>
          <w:rFonts w:ascii="inherit" w:eastAsia="宋体" w:hAnsi="inherit" w:cs="宋体"/>
          <w:color w:val="888888"/>
          <w:kern w:val="0"/>
          <w:sz w:val="18"/>
          <w:szCs w:val="18"/>
        </w:rPr>
        <w:t xml:space="preserve"> www.csrc.gov.cn </w:t>
      </w:r>
      <w:r w:rsidRPr="00244B3B">
        <w:rPr>
          <w:rFonts w:ascii="inherit" w:eastAsia="宋体" w:hAnsi="inherit" w:cs="宋体"/>
          <w:color w:val="888888"/>
          <w:kern w:val="0"/>
          <w:sz w:val="18"/>
          <w:szCs w:val="18"/>
        </w:rPr>
        <w:t>时间：</w:t>
      </w:r>
      <w:r w:rsidRPr="00244B3B">
        <w:rPr>
          <w:rFonts w:ascii="inherit" w:eastAsia="宋体" w:hAnsi="inherit" w:cs="宋体"/>
          <w:color w:val="888888"/>
          <w:kern w:val="0"/>
          <w:sz w:val="18"/>
          <w:szCs w:val="18"/>
        </w:rPr>
        <w:t xml:space="preserve">2017-08-04 </w:t>
      </w:r>
      <w:r w:rsidRPr="00244B3B">
        <w:rPr>
          <w:rFonts w:ascii="inherit" w:eastAsia="宋体" w:hAnsi="inherit" w:cs="宋体"/>
          <w:color w:val="888888"/>
          <w:kern w:val="0"/>
          <w:sz w:val="18"/>
          <w:szCs w:val="18"/>
        </w:rPr>
        <w:t>来源：上交所</w:t>
      </w:r>
      <w:r w:rsidRPr="00244B3B">
        <w:rPr>
          <w:rFonts w:ascii="inherit" w:eastAsia="宋体" w:hAnsi="inherit" w:cs="宋体"/>
          <w:color w:val="888888"/>
          <w:kern w:val="0"/>
          <w:sz w:val="18"/>
          <w:szCs w:val="18"/>
        </w:rPr>
        <w:t xml:space="preserve"> </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作为备受市场关注的热点题材之一，</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经常受到中小投资者的追捧。在</w:t>
      </w:r>
      <w:r w:rsidRPr="00244B3B">
        <w:rPr>
          <w:rFonts w:ascii="inherit" w:eastAsia="宋体" w:hAnsi="inherit" w:cs="宋体"/>
          <w:color w:val="333333"/>
          <w:kern w:val="0"/>
          <w:szCs w:val="21"/>
        </w:rPr>
        <w:t>A</w:t>
      </w:r>
      <w:r w:rsidRPr="00244B3B">
        <w:rPr>
          <w:rFonts w:ascii="inherit" w:eastAsia="宋体" w:hAnsi="inherit" w:cs="宋体"/>
          <w:color w:val="333333"/>
          <w:kern w:val="0"/>
          <w:szCs w:val="21"/>
        </w:rPr>
        <w:t>股市场上，有的上市公司选择在半年报、年报披露之前</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慷慨</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公告</w:t>
      </w:r>
      <w:r w:rsidRPr="00244B3B">
        <w:rPr>
          <w:rFonts w:ascii="inherit" w:eastAsia="宋体" w:hAnsi="inherit" w:cs="宋体"/>
          <w:color w:val="333333"/>
          <w:kern w:val="0"/>
          <w:szCs w:val="21"/>
        </w:rPr>
        <w:t>“10</w:t>
      </w:r>
      <w:r w:rsidRPr="00244B3B">
        <w:rPr>
          <w:rFonts w:ascii="inherit" w:eastAsia="宋体" w:hAnsi="inherit" w:cs="宋体"/>
          <w:color w:val="333333"/>
          <w:kern w:val="0"/>
          <w:szCs w:val="21"/>
        </w:rPr>
        <w:t>送</w:t>
      </w:r>
      <w:r w:rsidRPr="00244B3B">
        <w:rPr>
          <w:rFonts w:ascii="inherit" w:eastAsia="宋体" w:hAnsi="inherit" w:cs="宋体"/>
          <w:color w:val="333333"/>
          <w:kern w:val="0"/>
          <w:szCs w:val="21"/>
        </w:rPr>
        <w:t>20”</w:t>
      </w:r>
      <w:r w:rsidRPr="00244B3B">
        <w:rPr>
          <w:rFonts w:ascii="inherit" w:eastAsia="宋体" w:hAnsi="inherit" w:cs="宋体"/>
          <w:color w:val="333333"/>
          <w:kern w:val="0"/>
          <w:szCs w:val="21"/>
        </w:rPr>
        <w:t>，甚至</w:t>
      </w:r>
      <w:r w:rsidRPr="00244B3B">
        <w:rPr>
          <w:rFonts w:ascii="inherit" w:eastAsia="宋体" w:hAnsi="inherit" w:cs="宋体"/>
          <w:color w:val="333333"/>
          <w:kern w:val="0"/>
          <w:szCs w:val="21"/>
        </w:rPr>
        <w:t>“10</w:t>
      </w:r>
      <w:r w:rsidRPr="00244B3B">
        <w:rPr>
          <w:rFonts w:ascii="inherit" w:eastAsia="宋体" w:hAnsi="inherit" w:cs="宋体"/>
          <w:color w:val="333333"/>
          <w:kern w:val="0"/>
          <w:szCs w:val="21"/>
        </w:rPr>
        <w:t>送</w:t>
      </w:r>
      <w:r w:rsidRPr="00244B3B">
        <w:rPr>
          <w:rFonts w:ascii="inherit" w:eastAsia="宋体" w:hAnsi="inherit" w:cs="宋体"/>
          <w:color w:val="333333"/>
          <w:kern w:val="0"/>
          <w:szCs w:val="21"/>
        </w:rPr>
        <w:t>30”</w:t>
      </w:r>
      <w:r w:rsidRPr="00244B3B">
        <w:rPr>
          <w:rFonts w:ascii="inherit" w:eastAsia="宋体" w:hAnsi="inherit" w:cs="宋体"/>
          <w:color w:val="333333"/>
          <w:kern w:val="0"/>
          <w:szCs w:val="21"/>
        </w:rPr>
        <w:t>等</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方案，借此大幅拉升股价，撩拨投资者的神经，把</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异化成炒作题材或者配合大股东或内部人减持的</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灵药</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公司就曾打出一套</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减持套现</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大额预亏</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的组合拳，引诱不知情的投资者为公司股价炒作和不当的</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市值管理</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买单。</w:t>
      </w:r>
      <w:r w:rsidRPr="00244B3B">
        <w:rPr>
          <w:rFonts w:ascii="inherit" w:eastAsia="宋体" w:hAnsi="inherit" w:cs="宋体"/>
          <w:color w:val="333333"/>
          <w:kern w:val="0"/>
          <w:szCs w:val="21"/>
        </w:rPr>
        <w:t>2015</w:t>
      </w:r>
      <w:r w:rsidRPr="00244B3B">
        <w:rPr>
          <w:rFonts w:ascii="inherit" w:eastAsia="宋体" w:hAnsi="inherit" w:cs="宋体"/>
          <w:color w:val="333333"/>
          <w:kern w:val="0"/>
          <w:szCs w:val="21"/>
        </w:rPr>
        <w:t>年初，</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公司发布</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预案，公司股东且兼任公司董事长和总经理的</w:t>
      </w:r>
      <w:r w:rsidRPr="00244B3B">
        <w:rPr>
          <w:rFonts w:ascii="inherit" w:eastAsia="宋体" w:hAnsi="inherit" w:cs="宋体"/>
          <w:color w:val="333333"/>
          <w:kern w:val="0"/>
          <w:szCs w:val="21"/>
        </w:rPr>
        <w:t>Y</w:t>
      </w:r>
      <w:r w:rsidRPr="00244B3B">
        <w:rPr>
          <w:rFonts w:ascii="inherit" w:eastAsia="宋体" w:hAnsi="inherit" w:cs="宋体"/>
          <w:color w:val="333333"/>
          <w:kern w:val="0"/>
          <w:szCs w:val="21"/>
        </w:rPr>
        <w:t>某及其他两位股东以</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结合公司</w:t>
      </w:r>
      <w:r w:rsidRPr="00244B3B">
        <w:rPr>
          <w:rFonts w:ascii="inherit" w:eastAsia="宋体" w:hAnsi="inherit" w:cs="宋体"/>
          <w:color w:val="333333"/>
          <w:kern w:val="0"/>
          <w:szCs w:val="21"/>
        </w:rPr>
        <w:t>2014</w:t>
      </w:r>
      <w:r w:rsidRPr="00244B3B">
        <w:rPr>
          <w:rFonts w:ascii="inherit" w:eastAsia="宋体" w:hAnsi="inherit" w:cs="宋体"/>
          <w:color w:val="333333"/>
          <w:kern w:val="0"/>
          <w:szCs w:val="21"/>
        </w:rPr>
        <w:t>年实际经营状况，积极回报股东，与所有股东分享公司未来发展的经营成果</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为由，提出并同意</w:t>
      </w:r>
      <w:r w:rsidRPr="00244B3B">
        <w:rPr>
          <w:rFonts w:ascii="inherit" w:eastAsia="宋体" w:hAnsi="inherit" w:cs="宋体"/>
          <w:color w:val="333333"/>
          <w:kern w:val="0"/>
          <w:szCs w:val="21"/>
        </w:rPr>
        <w:t>2014</w:t>
      </w:r>
      <w:r w:rsidRPr="00244B3B">
        <w:rPr>
          <w:rFonts w:ascii="inherit" w:eastAsia="宋体" w:hAnsi="inherit" w:cs="宋体"/>
          <w:color w:val="333333"/>
          <w:kern w:val="0"/>
          <w:szCs w:val="21"/>
        </w:rPr>
        <w:t>年度</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的利润分配方案为</w:t>
      </w:r>
      <w:r w:rsidRPr="00244B3B">
        <w:rPr>
          <w:rFonts w:ascii="inherit" w:eastAsia="宋体" w:hAnsi="inherit" w:cs="宋体"/>
          <w:color w:val="333333"/>
          <w:kern w:val="0"/>
          <w:szCs w:val="21"/>
        </w:rPr>
        <w:t>“10</w:t>
      </w:r>
      <w:r w:rsidRPr="00244B3B">
        <w:rPr>
          <w:rFonts w:ascii="inherit" w:eastAsia="宋体" w:hAnsi="inherit" w:cs="宋体"/>
          <w:color w:val="333333"/>
          <w:kern w:val="0"/>
          <w:szCs w:val="21"/>
        </w:rPr>
        <w:t>转</w:t>
      </w:r>
      <w:r w:rsidRPr="00244B3B">
        <w:rPr>
          <w:rFonts w:ascii="inherit" w:eastAsia="宋体" w:hAnsi="inherit" w:cs="宋体"/>
          <w:color w:val="333333"/>
          <w:kern w:val="0"/>
          <w:szCs w:val="21"/>
        </w:rPr>
        <w:t>20”</w:t>
      </w:r>
      <w:r w:rsidRPr="00244B3B">
        <w:rPr>
          <w:rFonts w:ascii="inherit" w:eastAsia="宋体" w:hAnsi="inherit" w:cs="宋体"/>
          <w:color w:val="333333"/>
          <w:kern w:val="0"/>
          <w:szCs w:val="21"/>
        </w:rPr>
        <w:t>。同日，上述</w:t>
      </w:r>
      <w:r w:rsidRPr="00244B3B">
        <w:rPr>
          <w:rFonts w:ascii="inherit" w:eastAsia="宋体" w:hAnsi="inherit" w:cs="宋体"/>
          <w:color w:val="333333"/>
          <w:kern w:val="0"/>
          <w:szCs w:val="21"/>
        </w:rPr>
        <w:t>3</w:t>
      </w:r>
      <w:r w:rsidRPr="00244B3B">
        <w:rPr>
          <w:rFonts w:ascii="inherit" w:eastAsia="宋体" w:hAnsi="inherit" w:cs="宋体"/>
          <w:color w:val="333333"/>
          <w:kern w:val="0"/>
          <w:szCs w:val="21"/>
        </w:rPr>
        <w:t>位股东又共同披露了减持计划，套现逾</w:t>
      </w:r>
      <w:r w:rsidRPr="00244B3B">
        <w:rPr>
          <w:rFonts w:ascii="inherit" w:eastAsia="宋体" w:hAnsi="inherit" w:cs="宋体"/>
          <w:color w:val="333333"/>
          <w:kern w:val="0"/>
          <w:szCs w:val="21"/>
        </w:rPr>
        <w:t>20</w:t>
      </w:r>
      <w:r w:rsidRPr="00244B3B">
        <w:rPr>
          <w:rFonts w:ascii="inherit" w:eastAsia="宋体" w:hAnsi="inherit" w:cs="宋体"/>
          <w:color w:val="333333"/>
          <w:kern w:val="0"/>
          <w:szCs w:val="21"/>
        </w:rPr>
        <w:t>亿元。值得关注的是，公司股价在</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消息发布前的短期内竟大涨近</w:t>
      </w:r>
      <w:r w:rsidRPr="00244B3B">
        <w:rPr>
          <w:rFonts w:ascii="inherit" w:eastAsia="宋体" w:hAnsi="inherit" w:cs="宋体"/>
          <w:color w:val="333333"/>
          <w:kern w:val="0"/>
          <w:szCs w:val="21"/>
        </w:rPr>
        <w:t>40%</w:t>
      </w:r>
      <w:r w:rsidRPr="00244B3B">
        <w:rPr>
          <w:rFonts w:ascii="inherit" w:eastAsia="宋体" w:hAnsi="inherit" w:cs="宋体"/>
          <w:color w:val="333333"/>
          <w:kern w:val="0"/>
          <w:szCs w:val="21"/>
        </w:rPr>
        <w:t>。</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但是，仅几日后，</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公司发布了</w:t>
      </w:r>
      <w:r w:rsidRPr="00244B3B">
        <w:rPr>
          <w:rFonts w:ascii="inherit" w:eastAsia="宋体" w:hAnsi="inherit" w:cs="宋体"/>
          <w:color w:val="333333"/>
          <w:kern w:val="0"/>
          <w:szCs w:val="21"/>
        </w:rPr>
        <w:t>8</w:t>
      </w:r>
      <w:r w:rsidRPr="00244B3B">
        <w:rPr>
          <w:rFonts w:ascii="inherit" w:eastAsia="宋体" w:hAnsi="inherit" w:cs="宋体"/>
          <w:color w:val="333333"/>
          <w:kern w:val="0"/>
          <w:szCs w:val="21"/>
        </w:rPr>
        <w:t>亿元预亏公告并同时预警，由于</w:t>
      </w:r>
      <w:r w:rsidRPr="00244B3B">
        <w:rPr>
          <w:rFonts w:ascii="inherit" w:eastAsia="宋体" w:hAnsi="inherit" w:cs="宋体"/>
          <w:color w:val="333333"/>
          <w:kern w:val="0"/>
          <w:szCs w:val="21"/>
        </w:rPr>
        <w:t>2013</w:t>
      </w:r>
      <w:r w:rsidRPr="00244B3B">
        <w:rPr>
          <w:rFonts w:ascii="inherit" w:eastAsia="宋体" w:hAnsi="inherit" w:cs="宋体"/>
          <w:color w:val="333333"/>
          <w:kern w:val="0"/>
          <w:szCs w:val="21"/>
        </w:rPr>
        <w:t>年度已出现亏损，若</w:t>
      </w:r>
      <w:r w:rsidRPr="00244B3B">
        <w:rPr>
          <w:rFonts w:ascii="inherit" w:eastAsia="宋体" w:hAnsi="inherit" w:cs="宋体"/>
          <w:color w:val="333333"/>
          <w:kern w:val="0"/>
          <w:szCs w:val="21"/>
        </w:rPr>
        <w:t>2014</w:t>
      </w:r>
      <w:r w:rsidRPr="00244B3B">
        <w:rPr>
          <w:rFonts w:ascii="inherit" w:eastAsia="宋体" w:hAnsi="inherit" w:cs="宋体"/>
          <w:color w:val="333333"/>
          <w:kern w:val="0"/>
          <w:szCs w:val="21"/>
        </w:rPr>
        <w:t>年续亏，公司股票可能被实施退</w:t>
      </w:r>
      <w:proofErr w:type="gramStart"/>
      <w:r w:rsidRPr="00244B3B">
        <w:rPr>
          <w:rFonts w:ascii="inherit" w:eastAsia="宋体" w:hAnsi="inherit" w:cs="宋体"/>
          <w:color w:val="333333"/>
          <w:kern w:val="0"/>
          <w:szCs w:val="21"/>
        </w:rPr>
        <w:t>市风险</w:t>
      </w:r>
      <w:proofErr w:type="gramEnd"/>
      <w:r w:rsidRPr="00244B3B">
        <w:rPr>
          <w:rFonts w:ascii="inherit" w:eastAsia="宋体" w:hAnsi="inherit" w:cs="宋体"/>
          <w:color w:val="333333"/>
          <w:kern w:val="0"/>
          <w:szCs w:val="21"/>
        </w:rPr>
        <w:t>警示。一石激起千层浪，该上市公司对业绩预判的前后矛盾及毫无征兆</w:t>
      </w:r>
      <w:proofErr w:type="gramStart"/>
      <w:r w:rsidRPr="00244B3B">
        <w:rPr>
          <w:rFonts w:ascii="inherit" w:eastAsia="宋体" w:hAnsi="inherit" w:cs="宋体"/>
          <w:color w:val="333333"/>
          <w:kern w:val="0"/>
          <w:szCs w:val="21"/>
        </w:rPr>
        <w:t>的巨亏震惊</w:t>
      </w:r>
      <w:proofErr w:type="gramEnd"/>
      <w:r w:rsidRPr="00244B3B">
        <w:rPr>
          <w:rFonts w:ascii="inherit" w:eastAsia="宋体" w:hAnsi="inherit" w:cs="宋体"/>
          <w:color w:val="333333"/>
          <w:kern w:val="0"/>
          <w:szCs w:val="21"/>
        </w:rPr>
        <w:t>了市场上的投资者，公司股价出现大幅波动，成为</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误导投资者并造成损失的典型案例。根据律师粗略统计，截至目前，针对</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公司的诉讼已涉及</w:t>
      </w:r>
      <w:r w:rsidRPr="00244B3B">
        <w:rPr>
          <w:rFonts w:ascii="inherit" w:eastAsia="宋体" w:hAnsi="inherit" w:cs="宋体"/>
          <w:color w:val="333333"/>
          <w:kern w:val="0"/>
          <w:szCs w:val="21"/>
        </w:rPr>
        <w:t>400</w:t>
      </w:r>
      <w:r w:rsidRPr="00244B3B">
        <w:rPr>
          <w:rFonts w:ascii="inherit" w:eastAsia="宋体" w:hAnsi="inherit" w:cs="宋体"/>
          <w:color w:val="333333"/>
          <w:kern w:val="0"/>
          <w:szCs w:val="21"/>
        </w:rPr>
        <w:t>名左右的投资者，索赔标的在</w:t>
      </w:r>
      <w:r w:rsidRPr="00244B3B">
        <w:rPr>
          <w:rFonts w:ascii="inherit" w:eastAsia="宋体" w:hAnsi="inherit" w:cs="宋体"/>
          <w:color w:val="333333"/>
          <w:kern w:val="0"/>
          <w:szCs w:val="21"/>
        </w:rPr>
        <w:t>8000</w:t>
      </w:r>
      <w:r w:rsidRPr="00244B3B">
        <w:rPr>
          <w:rFonts w:ascii="inherit" w:eastAsia="宋体" w:hAnsi="inherit" w:cs="宋体"/>
          <w:color w:val="333333"/>
          <w:kern w:val="0"/>
          <w:szCs w:val="21"/>
        </w:rPr>
        <w:t>万元到</w:t>
      </w:r>
      <w:r w:rsidRPr="00244B3B">
        <w:rPr>
          <w:rFonts w:ascii="inherit" w:eastAsia="宋体" w:hAnsi="inherit" w:cs="宋体"/>
          <w:color w:val="333333"/>
          <w:kern w:val="0"/>
          <w:szCs w:val="21"/>
        </w:rPr>
        <w:t>1</w:t>
      </w:r>
      <w:r w:rsidRPr="00244B3B">
        <w:rPr>
          <w:rFonts w:ascii="inherit" w:eastAsia="宋体" w:hAnsi="inherit" w:cs="宋体"/>
          <w:color w:val="333333"/>
          <w:kern w:val="0"/>
          <w:szCs w:val="21"/>
        </w:rPr>
        <w:t>亿元之间。</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w:t>
      </w:r>
      <w:r w:rsidRPr="00244B3B">
        <w:rPr>
          <w:rFonts w:ascii="inherit" w:eastAsia="宋体" w:hAnsi="inherit" w:cs="宋体"/>
          <w:color w:val="333333"/>
          <w:kern w:val="0"/>
          <w:szCs w:val="21"/>
        </w:rPr>
        <w:t>Y</w:t>
      </w:r>
      <w:r w:rsidRPr="00244B3B">
        <w:rPr>
          <w:rFonts w:ascii="inherit" w:eastAsia="宋体" w:hAnsi="inherit" w:cs="宋体"/>
          <w:color w:val="333333"/>
          <w:kern w:val="0"/>
          <w:szCs w:val="21"/>
        </w:rPr>
        <w:t>某作为</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公司的股东，同时兼任公司董事长和总经理，在提出并审议</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等相关利润分配提议时，应当知悉或主动核实公司经营情况，并据以判断利润分配提议及相关披露内容是否与公司实际经营情况相符。事实上，</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公司发布的</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预案相关披露内容与公司数日后公告的业绩预</w:t>
      </w:r>
      <w:proofErr w:type="gramStart"/>
      <w:r w:rsidRPr="00244B3B">
        <w:rPr>
          <w:rFonts w:ascii="inherit" w:eastAsia="宋体" w:hAnsi="inherit" w:cs="宋体"/>
          <w:color w:val="333333"/>
          <w:kern w:val="0"/>
          <w:szCs w:val="21"/>
        </w:rPr>
        <w:t>亏情况</w:t>
      </w:r>
      <w:proofErr w:type="gramEnd"/>
      <w:r w:rsidRPr="00244B3B">
        <w:rPr>
          <w:rFonts w:ascii="inherit" w:eastAsia="宋体" w:hAnsi="inherit" w:cs="宋体"/>
          <w:color w:val="333333"/>
          <w:kern w:val="0"/>
          <w:szCs w:val="21"/>
        </w:rPr>
        <w:t>明显不符，对投资者的判断产生了重大影响。</w:t>
      </w:r>
      <w:r w:rsidRPr="00244B3B">
        <w:rPr>
          <w:rFonts w:ascii="inherit" w:eastAsia="宋体" w:hAnsi="inherit" w:cs="宋体"/>
          <w:color w:val="333333"/>
          <w:kern w:val="0"/>
          <w:szCs w:val="21"/>
        </w:rPr>
        <w:t>Y</w:t>
      </w:r>
      <w:r w:rsidRPr="00244B3B">
        <w:rPr>
          <w:rFonts w:ascii="inherit" w:eastAsia="宋体" w:hAnsi="inherit" w:cs="宋体"/>
          <w:color w:val="333333"/>
          <w:kern w:val="0"/>
          <w:szCs w:val="21"/>
        </w:rPr>
        <w:t>某未勤勉尽</w:t>
      </w:r>
      <w:r w:rsidRPr="00244B3B">
        <w:rPr>
          <w:rFonts w:ascii="inherit" w:eastAsia="宋体" w:hAnsi="inherit" w:cs="宋体"/>
          <w:color w:val="333333"/>
          <w:kern w:val="0"/>
          <w:szCs w:val="21"/>
        </w:rPr>
        <w:lastRenderedPageBreak/>
        <w:t>责，其上述行为严重违反了《上海证券交易所股票上市规则》和《上海证券交易所上市公司董事选任与行为指引》的相关规定。上交所对</w:t>
      </w:r>
      <w:r w:rsidRPr="00244B3B">
        <w:rPr>
          <w:rFonts w:ascii="inherit" w:eastAsia="宋体" w:hAnsi="inherit" w:cs="宋体"/>
          <w:color w:val="333333"/>
          <w:kern w:val="0"/>
          <w:szCs w:val="21"/>
        </w:rPr>
        <w:t>Y</w:t>
      </w:r>
      <w:r w:rsidRPr="00244B3B">
        <w:rPr>
          <w:rFonts w:ascii="inherit" w:eastAsia="宋体" w:hAnsi="inherit" w:cs="宋体"/>
          <w:color w:val="333333"/>
          <w:kern w:val="0"/>
          <w:szCs w:val="21"/>
        </w:rPr>
        <w:t>某予以公开谴责，并对其他两位股东和时任董事予以通报批评。</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同时，</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的背后还可能伴生内幕交易、市场操纵等违法违规行为。中国证监会也曾就</w:t>
      </w:r>
      <w:r w:rsidRPr="00244B3B">
        <w:rPr>
          <w:rFonts w:ascii="inherit" w:eastAsia="宋体" w:hAnsi="inherit" w:cs="宋体"/>
          <w:color w:val="333333"/>
          <w:kern w:val="0"/>
          <w:szCs w:val="21"/>
        </w:rPr>
        <w:t>X</w:t>
      </w:r>
      <w:r w:rsidRPr="00244B3B">
        <w:rPr>
          <w:rFonts w:ascii="inherit" w:eastAsia="宋体" w:hAnsi="inherit" w:cs="宋体"/>
          <w:color w:val="333333"/>
          <w:kern w:val="0"/>
          <w:szCs w:val="21"/>
        </w:rPr>
        <w:t>公司相关责任人在知悉公司真实财务状况的情形下，利用</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配合大比例减</w:t>
      </w:r>
      <w:proofErr w:type="gramStart"/>
      <w:r w:rsidRPr="00244B3B">
        <w:rPr>
          <w:rFonts w:ascii="inherit" w:eastAsia="宋体" w:hAnsi="inherit" w:cs="宋体"/>
          <w:color w:val="333333"/>
          <w:kern w:val="0"/>
          <w:szCs w:val="21"/>
        </w:rPr>
        <w:t>持过程</w:t>
      </w:r>
      <w:proofErr w:type="gramEnd"/>
      <w:r w:rsidRPr="00244B3B">
        <w:rPr>
          <w:rFonts w:ascii="inherit" w:eastAsia="宋体" w:hAnsi="inherit" w:cs="宋体"/>
          <w:color w:val="333333"/>
          <w:kern w:val="0"/>
          <w:szCs w:val="21"/>
        </w:rPr>
        <w:t>中的内幕交易违法行为</w:t>
      </w:r>
      <w:proofErr w:type="gramStart"/>
      <w:r w:rsidRPr="00244B3B">
        <w:rPr>
          <w:rFonts w:ascii="inherit" w:eastAsia="宋体" w:hAnsi="inherit" w:cs="宋体"/>
          <w:color w:val="333333"/>
          <w:kern w:val="0"/>
          <w:szCs w:val="21"/>
        </w:rPr>
        <w:t>作出</w:t>
      </w:r>
      <w:proofErr w:type="gramEnd"/>
      <w:r w:rsidRPr="00244B3B">
        <w:rPr>
          <w:rFonts w:ascii="inherit" w:eastAsia="宋体" w:hAnsi="inherit" w:cs="宋体"/>
          <w:color w:val="333333"/>
          <w:kern w:val="0"/>
          <w:szCs w:val="21"/>
        </w:rPr>
        <w:t>了罚款、没收违法所得、警告及证券市场禁入的行政处罚。</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市场上的确存在上市公司</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动机不纯</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，利用</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配合股东减持、限售股解禁，也有少数公司在由盈转亏甚至业绩恶化的情况下强推</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方案。对此，为保护投资者的知情权，监管部门全面强化</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一线监管，对于披露</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预案的公司，按照分类监管、事中监管、刨根问底</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三位一体</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的监管模式，严把信息披露审核第一关。</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作为中小投资者，为避免落入</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的陷阱，要对</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的本质有更加清醒和深刻的认识。</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实质上是股东权益的内部结构调整，</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后公司股本总数虽然扩大了，但对净资产收益率没有影响，公司的盈利能力不会有任何实质性的提升，投资者的股东权益也不会因此而增加。在这里提示投资者，不要被这种</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数字游戏</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迷惑。</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t xml:space="preserve">　　此外，与业绩不相匹配的</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往往是股价炒作、股东减持的</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重灾区</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。在上市公司正式公告</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预案时，投资者还要重点关注公司</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背后的真实目的，综合考虑公司发展战略、经营业绩等，分析</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高送转</w:t>
      </w:r>
      <w:r w:rsidRPr="00244B3B">
        <w:rPr>
          <w:rFonts w:ascii="inherit" w:eastAsia="宋体" w:hAnsi="inherit" w:cs="宋体"/>
          <w:color w:val="333333"/>
          <w:kern w:val="0"/>
          <w:szCs w:val="21"/>
        </w:rPr>
        <w:t>”</w:t>
      </w:r>
      <w:r w:rsidRPr="00244B3B">
        <w:rPr>
          <w:rFonts w:ascii="inherit" w:eastAsia="宋体" w:hAnsi="inherit" w:cs="宋体"/>
          <w:color w:val="333333"/>
          <w:kern w:val="0"/>
          <w:szCs w:val="21"/>
        </w:rPr>
        <w:t>的合理性，避免盲目跟风。</w:t>
      </w:r>
    </w:p>
    <w:p w:rsidR="00244B3B" w:rsidRPr="00244B3B" w:rsidRDefault="00244B3B" w:rsidP="00244B3B">
      <w:pPr>
        <w:widowControl/>
        <w:shd w:val="clear" w:color="auto" w:fill="FFFFFF"/>
        <w:spacing w:line="480" w:lineRule="auto"/>
        <w:jc w:val="left"/>
        <w:rPr>
          <w:rFonts w:ascii="inherit" w:eastAsia="宋体" w:hAnsi="inherit" w:cs="宋体"/>
          <w:color w:val="333333"/>
          <w:kern w:val="0"/>
          <w:szCs w:val="21"/>
        </w:rPr>
      </w:pPr>
      <w:r w:rsidRPr="00244B3B">
        <w:rPr>
          <w:rFonts w:ascii="inherit" w:eastAsia="宋体" w:hAnsi="inherit" w:cs="宋体"/>
          <w:color w:val="333333"/>
          <w:kern w:val="0"/>
          <w:szCs w:val="21"/>
        </w:rPr>
        <w:br/>
      </w:r>
      <w:r w:rsidRPr="00244B3B">
        <w:rPr>
          <w:rFonts w:ascii="inherit" w:eastAsia="宋体" w:hAnsi="inherit" w:cs="宋体"/>
          <w:color w:val="333333"/>
          <w:kern w:val="0"/>
          <w:szCs w:val="21"/>
        </w:rPr>
        <w:pict/>
      </w:r>
      <w:r w:rsidRPr="00244B3B">
        <w:rPr>
          <w:rFonts w:ascii="inherit" w:eastAsia="宋体" w:hAnsi="inherit" w:cs="宋体"/>
          <w:color w:val="333333"/>
          <w:kern w:val="0"/>
          <w:szCs w:val="21"/>
        </w:rPr>
        <w:pict/>
      </w:r>
    </w:p>
    <w:p w:rsidR="009009F3" w:rsidRDefault="009009F3"/>
    <w:sectPr w:rsidR="009009F3" w:rsidSect="00900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B3B"/>
    <w:rsid w:val="00244B3B"/>
    <w:rsid w:val="00900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113115">
      <w:bodyDiv w:val="1"/>
      <w:marLeft w:val="0"/>
      <w:marRight w:val="0"/>
      <w:marTop w:val="0"/>
      <w:marBottom w:val="0"/>
      <w:divBdr>
        <w:top w:val="none" w:sz="0" w:space="0" w:color="auto"/>
        <w:left w:val="none" w:sz="0" w:space="0" w:color="auto"/>
        <w:bottom w:val="none" w:sz="0" w:space="0" w:color="auto"/>
        <w:right w:val="none" w:sz="0" w:space="0" w:color="auto"/>
      </w:divBdr>
      <w:divsChild>
        <w:div w:id="1998923243">
          <w:marLeft w:val="0"/>
          <w:marRight w:val="0"/>
          <w:marTop w:val="0"/>
          <w:marBottom w:val="0"/>
          <w:divBdr>
            <w:top w:val="none" w:sz="0" w:space="0" w:color="auto"/>
            <w:left w:val="none" w:sz="0" w:space="0" w:color="auto"/>
            <w:bottom w:val="none" w:sz="0" w:space="0" w:color="auto"/>
            <w:right w:val="none" w:sz="0" w:space="0" w:color="auto"/>
          </w:divBdr>
          <w:divsChild>
            <w:div w:id="275521725">
              <w:marLeft w:val="0"/>
              <w:marRight w:val="0"/>
              <w:marTop w:val="0"/>
              <w:marBottom w:val="0"/>
              <w:divBdr>
                <w:top w:val="none" w:sz="0" w:space="0" w:color="auto"/>
                <w:left w:val="none" w:sz="0" w:space="0" w:color="auto"/>
                <w:bottom w:val="none" w:sz="0" w:space="0" w:color="auto"/>
                <w:right w:val="none" w:sz="0" w:space="0" w:color="auto"/>
              </w:divBdr>
              <w:divsChild>
                <w:div w:id="67927269">
                  <w:marLeft w:val="105"/>
                  <w:marRight w:val="105"/>
                  <w:marTop w:val="0"/>
                  <w:marBottom w:val="0"/>
                  <w:divBdr>
                    <w:top w:val="none" w:sz="0" w:space="0" w:color="auto"/>
                    <w:left w:val="none" w:sz="0" w:space="0" w:color="auto"/>
                    <w:bottom w:val="none" w:sz="0" w:space="0" w:color="auto"/>
                    <w:right w:val="none" w:sz="0" w:space="0" w:color="auto"/>
                  </w:divBdr>
                  <w:divsChild>
                    <w:div w:id="1803234003">
                      <w:marLeft w:val="0"/>
                      <w:marRight w:val="0"/>
                      <w:marTop w:val="0"/>
                      <w:marBottom w:val="0"/>
                      <w:divBdr>
                        <w:top w:val="none" w:sz="0" w:space="0" w:color="auto"/>
                        <w:left w:val="none" w:sz="0" w:space="0" w:color="auto"/>
                        <w:bottom w:val="none" w:sz="0" w:space="0" w:color="auto"/>
                        <w:right w:val="none" w:sz="0" w:space="0" w:color="auto"/>
                      </w:divBdr>
                      <w:divsChild>
                        <w:div w:id="2067365585">
                          <w:marLeft w:val="0"/>
                          <w:marRight w:val="0"/>
                          <w:marTop w:val="0"/>
                          <w:marBottom w:val="0"/>
                          <w:divBdr>
                            <w:top w:val="none" w:sz="0" w:space="0" w:color="auto"/>
                            <w:left w:val="none" w:sz="0" w:space="0" w:color="auto"/>
                            <w:bottom w:val="single" w:sz="12" w:space="11" w:color="CCCCCC"/>
                            <w:right w:val="none" w:sz="0" w:space="0" w:color="auto"/>
                          </w:divBdr>
                        </w:div>
                        <w:div w:id="979462804">
                          <w:marLeft w:val="0"/>
                          <w:marRight w:val="0"/>
                          <w:marTop w:val="0"/>
                          <w:marBottom w:val="300"/>
                          <w:divBdr>
                            <w:top w:val="none" w:sz="0" w:space="0" w:color="auto"/>
                            <w:left w:val="none" w:sz="0" w:space="0" w:color="auto"/>
                            <w:bottom w:val="none" w:sz="0" w:space="0" w:color="auto"/>
                            <w:right w:val="none" w:sz="0" w:space="0" w:color="auto"/>
                          </w:divBdr>
                        </w:div>
                        <w:div w:id="1500196023">
                          <w:marLeft w:val="0"/>
                          <w:marRight w:val="0"/>
                          <w:marTop w:val="0"/>
                          <w:marBottom w:val="0"/>
                          <w:divBdr>
                            <w:top w:val="none" w:sz="0" w:space="0" w:color="auto"/>
                            <w:left w:val="none" w:sz="0" w:space="0" w:color="auto"/>
                            <w:bottom w:val="none" w:sz="0" w:space="0" w:color="auto"/>
                            <w:right w:val="none" w:sz="0" w:space="0" w:color="auto"/>
                          </w:divBdr>
                          <w:divsChild>
                            <w:div w:id="15766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2017-09-01T07:28:00Z</dcterms:created>
  <dcterms:modified xsi:type="dcterms:W3CDTF">2017-09-01T07:29:00Z</dcterms:modified>
</cp:coreProperties>
</file>