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val="0"/>
          <w:i w:val="0"/>
          <w:caps w:val="0"/>
          <w:color w:val="0B65AA"/>
          <w:spacing w:val="0"/>
          <w:sz w:val="36"/>
          <w:szCs w:val="36"/>
        </w:rPr>
      </w:pPr>
      <w:r>
        <w:rPr>
          <w:rFonts w:hint="eastAsia" w:ascii="微软雅黑" w:hAnsi="微软雅黑" w:eastAsia="微软雅黑" w:cs="微软雅黑"/>
          <w:b w:val="0"/>
          <w:i w:val="0"/>
          <w:caps w:val="0"/>
          <w:color w:val="0B65AA"/>
          <w:spacing w:val="0"/>
          <w:sz w:val="36"/>
          <w:szCs w:val="36"/>
          <w:bdr w:val="none" w:color="auto" w:sz="0" w:space="0"/>
        </w:rPr>
        <w:t>“投资者保护 明规则、识风险案例”——</w:t>
      </w:r>
      <w:bookmarkStart w:id="0" w:name="_GoBack"/>
      <w:r>
        <w:rPr>
          <w:rFonts w:hint="eastAsia" w:ascii="微软雅黑" w:hAnsi="微软雅黑" w:eastAsia="微软雅黑" w:cs="微软雅黑"/>
          <w:b w:val="0"/>
          <w:i w:val="0"/>
          <w:caps w:val="0"/>
          <w:color w:val="0B65AA"/>
          <w:spacing w:val="0"/>
          <w:sz w:val="36"/>
          <w:szCs w:val="36"/>
          <w:bdr w:val="none" w:color="auto" w:sz="0" w:space="0"/>
        </w:rPr>
        <w:t>了解规则擦亮眼 勿重收益忘风险</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0"/>
        <w:jc w:val="center"/>
        <w:rPr>
          <w:rFonts w:hint="eastAsia" w:ascii="微软雅黑" w:hAnsi="微软雅黑" w:eastAsia="微软雅黑" w:cs="微软雅黑"/>
          <w:b w:val="0"/>
          <w:i w:val="0"/>
          <w:caps w:val="0"/>
          <w:color w:val="959595"/>
          <w:spacing w:val="0"/>
          <w:sz w:val="18"/>
          <w:szCs w:val="18"/>
        </w:rPr>
      </w:pPr>
      <w:r>
        <w:rPr>
          <w:rFonts w:hint="eastAsia" w:ascii="微软雅黑" w:hAnsi="微软雅黑" w:eastAsia="微软雅黑" w:cs="微软雅黑"/>
          <w:b w:val="0"/>
          <w:i w:val="0"/>
          <w:caps w:val="0"/>
          <w:color w:val="959595"/>
          <w:spacing w:val="0"/>
          <w:kern w:val="0"/>
          <w:sz w:val="18"/>
          <w:szCs w:val="18"/>
          <w:bdr w:val="none" w:color="auto" w:sz="0" w:space="0"/>
          <w:lang w:val="en-US" w:eastAsia="zh-CN" w:bidi="ar"/>
        </w:rPr>
        <w:t>公布时间： 2017-09-20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2017-09-20 来源：山西证监局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近年来,私募基金行业迅速发展,进一步满足多元化投融资的需求和多层次资本市场的建设,在服务实体经济和支持创新创业等方面发挥了积极作用。随着私募基金队伍的日益壮大,近几年出现了不少违规销售产品、突破合格投资者标准等违法违规行为,影响了行业的健康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lang w:val="en-US"/>
        </w:rPr>
        <w:t>2015</w:t>
      </w:r>
      <w:r>
        <w:rPr>
          <w:rFonts w:hint="eastAsia" w:ascii="宋体" w:hAnsi="宋体" w:eastAsia="宋体" w:cs="宋体"/>
          <w:b w:val="0"/>
          <w:i w:val="0"/>
          <w:caps w:val="0"/>
          <w:color w:val="000000"/>
          <w:spacing w:val="0"/>
          <w:sz w:val="21"/>
          <w:szCs w:val="21"/>
          <w:bdr w:val="none" w:color="auto" w:sz="0" w:space="0"/>
        </w:rPr>
        <w:t>年</w:t>
      </w:r>
      <w:r>
        <w:rPr>
          <w:rFonts w:hint="eastAsia" w:ascii="宋体" w:hAnsi="宋体" w:eastAsia="宋体" w:cs="宋体"/>
          <w:b w:val="0"/>
          <w:i w:val="0"/>
          <w:caps w:val="0"/>
          <w:color w:val="000000"/>
          <w:spacing w:val="0"/>
          <w:sz w:val="21"/>
          <w:szCs w:val="21"/>
          <w:bdr w:val="none" w:color="auto" w:sz="0" w:space="0"/>
          <w:lang w:val="en-US"/>
        </w:rPr>
        <w:t>2</w:t>
      </w:r>
      <w:r>
        <w:rPr>
          <w:rFonts w:hint="eastAsia" w:ascii="宋体" w:hAnsi="宋体" w:eastAsia="宋体" w:cs="宋体"/>
          <w:b w:val="0"/>
          <w:i w:val="0"/>
          <w:caps w:val="0"/>
          <w:color w:val="000000"/>
          <w:spacing w:val="0"/>
          <w:sz w:val="21"/>
          <w:szCs w:val="21"/>
          <w:bdr w:val="none" w:color="auto" w:sz="0" w:space="0"/>
        </w:rPr>
        <w:t>月,私募基金管理人</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公司在其公司所在地散发宣传资料、张贴海报,向不特定社会公众宣传其发行的</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基金</w:t>
      </w:r>
      <w:r>
        <w:rPr>
          <w:rFonts w:hint="eastAsia" w:ascii="宋体" w:hAnsi="宋体" w:eastAsia="宋体" w:cs="宋体"/>
          <w:b w:val="0"/>
          <w:i w:val="0"/>
          <w:caps w:val="0"/>
          <w:color w:val="000000"/>
          <w:spacing w:val="0"/>
          <w:sz w:val="21"/>
          <w:szCs w:val="21"/>
          <w:bdr w:val="none" w:color="auto" w:sz="0" w:space="0"/>
          <w:lang w:val="en-US"/>
        </w:rPr>
        <w:t>,</w:t>
      </w:r>
      <w:r>
        <w:rPr>
          <w:rFonts w:hint="eastAsia" w:ascii="宋体" w:hAnsi="宋体" w:eastAsia="宋体" w:cs="宋体"/>
          <w:b w:val="0"/>
          <w:i w:val="0"/>
          <w:caps w:val="0"/>
          <w:color w:val="000000"/>
          <w:spacing w:val="0"/>
          <w:sz w:val="21"/>
          <w:szCs w:val="21"/>
          <w:bdr w:val="none" w:color="auto" w:sz="0" w:space="0"/>
        </w:rPr>
        <w:t>称其年化收益率为</w:t>
      </w:r>
      <w:r>
        <w:rPr>
          <w:rFonts w:hint="eastAsia" w:ascii="宋体" w:hAnsi="宋体" w:eastAsia="宋体" w:cs="宋体"/>
          <w:b w:val="0"/>
          <w:i w:val="0"/>
          <w:caps w:val="0"/>
          <w:color w:val="000000"/>
          <w:spacing w:val="0"/>
          <w:sz w:val="21"/>
          <w:szCs w:val="21"/>
          <w:bdr w:val="none" w:color="auto" w:sz="0" w:space="0"/>
          <w:lang w:val="en-US"/>
        </w:rPr>
        <w:t>12.6%</w:t>
      </w:r>
      <w:r>
        <w:rPr>
          <w:rFonts w:hint="eastAsia" w:ascii="宋体" w:hAnsi="宋体" w:eastAsia="宋体" w:cs="宋体"/>
          <w:b w:val="0"/>
          <w:i w:val="0"/>
          <w:caps w:val="0"/>
          <w:color w:val="000000"/>
          <w:spacing w:val="0"/>
          <w:sz w:val="21"/>
          <w:szCs w:val="21"/>
          <w:bdr w:val="none" w:color="auto" w:sz="0" w:space="0"/>
        </w:rPr>
        <w:t>,基金规模为</w:t>
      </w:r>
      <w:r>
        <w:rPr>
          <w:rFonts w:hint="eastAsia" w:ascii="宋体" w:hAnsi="宋体" w:eastAsia="宋体" w:cs="宋体"/>
          <w:b w:val="0"/>
          <w:i w:val="0"/>
          <w:caps w:val="0"/>
          <w:color w:val="000000"/>
          <w:spacing w:val="0"/>
          <w:sz w:val="21"/>
          <w:szCs w:val="21"/>
          <w:bdr w:val="none" w:color="auto" w:sz="0" w:space="0"/>
          <w:lang w:val="en-US"/>
        </w:rPr>
        <w:t>5000</w:t>
      </w:r>
      <w:r>
        <w:rPr>
          <w:rFonts w:hint="eastAsia" w:ascii="宋体" w:hAnsi="宋体" w:eastAsia="宋体" w:cs="宋体"/>
          <w:b w:val="0"/>
          <w:i w:val="0"/>
          <w:caps w:val="0"/>
          <w:color w:val="000000"/>
          <w:spacing w:val="0"/>
          <w:sz w:val="21"/>
          <w:szCs w:val="21"/>
          <w:bdr w:val="none" w:color="auto" w:sz="0" w:space="0"/>
        </w:rPr>
        <w:t>万人民币,每份基金份额面值为</w:t>
      </w:r>
      <w:r>
        <w:rPr>
          <w:rFonts w:hint="eastAsia" w:ascii="宋体" w:hAnsi="宋体" w:eastAsia="宋体" w:cs="宋体"/>
          <w:b w:val="0"/>
          <w:i w:val="0"/>
          <w:caps w:val="0"/>
          <w:color w:val="000000"/>
          <w:spacing w:val="0"/>
          <w:sz w:val="21"/>
          <w:szCs w:val="21"/>
          <w:bdr w:val="none" w:color="auto" w:sz="0" w:space="0"/>
          <w:lang w:val="en-US"/>
        </w:rPr>
        <w:t>50</w:t>
      </w:r>
      <w:r>
        <w:rPr>
          <w:rFonts w:hint="eastAsia" w:ascii="宋体" w:hAnsi="宋体" w:eastAsia="宋体" w:cs="宋体"/>
          <w:b w:val="0"/>
          <w:i w:val="0"/>
          <w:caps w:val="0"/>
          <w:color w:val="000000"/>
          <w:spacing w:val="0"/>
          <w:sz w:val="21"/>
          <w:szCs w:val="21"/>
          <w:bdr w:val="none" w:color="auto" w:sz="0" w:space="0"/>
        </w:rPr>
        <w:t>万元人民币,共计</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份,最低认购额为一份,即</w:t>
      </w:r>
      <w:r>
        <w:rPr>
          <w:rFonts w:hint="eastAsia" w:ascii="宋体" w:hAnsi="宋体" w:eastAsia="宋体" w:cs="宋体"/>
          <w:b w:val="0"/>
          <w:i w:val="0"/>
          <w:caps w:val="0"/>
          <w:color w:val="000000"/>
          <w:spacing w:val="0"/>
          <w:sz w:val="21"/>
          <w:szCs w:val="21"/>
          <w:bdr w:val="none" w:color="auto" w:sz="0" w:space="0"/>
          <w:lang w:val="en-US"/>
        </w:rPr>
        <w:t>50</w:t>
      </w:r>
      <w:r>
        <w:rPr>
          <w:rFonts w:hint="eastAsia" w:ascii="宋体" w:hAnsi="宋体" w:eastAsia="宋体" w:cs="宋体"/>
          <w:b w:val="0"/>
          <w:i w:val="0"/>
          <w:caps w:val="0"/>
          <w:color w:val="000000"/>
          <w:spacing w:val="0"/>
          <w:sz w:val="21"/>
          <w:szCs w:val="21"/>
          <w:bdr w:val="none" w:color="auto" w:sz="0" w:space="0"/>
        </w:rPr>
        <w:t>万元人民币。</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公司对相关投资者发售基金份额时,未对投资者风险识别能力和风险承担能力进行评估,未要求投资者签署相关符合合格投资者条件的承诺书和风险揭示书。</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基金实际规模为</w:t>
      </w:r>
      <w:r>
        <w:rPr>
          <w:rFonts w:hint="eastAsia" w:ascii="宋体" w:hAnsi="宋体" w:eastAsia="宋体" w:cs="宋体"/>
          <w:b w:val="0"/>
          <w:i w:val="0"/>
          <w:caps w:val="0"/>
          <w:color w:val="000000"/>
          <w:spacing w:val="0"/>
          <w:sz w:val="21"/>
          <w:szCs w:val="21"/>
          <w:bdr w:val="none" w:color="auto" w:sz="0" w:space="0"/>
          <w:lang w:val="en-US"/>
        </w:rPr>
        <w:t>200</w:t>
      </w:r>
      <w:r>
        <w:rPr>
          <w:rFonts w:hint="eastAsia" w:ascii="宋体" w:hAnsi="宋体" w:eastAsia="宋体" w:cs="宋体"/>
          <w:b w:val="0"/>
          <w:i w:val="0"/>
          <w:caps w:val="0"/>
          <w:color w:val="000000"/>
          <w:spacing w:val="0"/>
          <w:sz w:val="21"/>
          <w:szCs w:val="21"/>
          <w:bdr w:val="none" w:color="auto" w:sz="0" w:space="0"/>
        </w:rPr>
        <w:t>万元,其虚假宣传严重误导了投资者。后某证监局对</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公司及其法定代表人,相关管理人员依法采取了行政监管措施,同时将其违法违规行为立案调查。</w:t>
      </w:r>
      <w:r>
        <w:rPr>
          <w:rFonts w:hint="eastAsia" w:ascii="宋体" w:hAnsi="宋体" w:eastAsia="宋体" w:cs="宋体"/>
          <w:b w:val="0"/>
          <w:i w:val="0"/>
          <w:caps w:val="0"/>
          <w:color w:val="000000"/>
          <w:spacing w:val="0"/>
          <w:sz w:val="21"/>
          <w:szCs w:val="21"/>
          <w:bdr w:val="none" w:color="auto" w:sz="0" w:space="0"/>
          <w:lang w:val="en-US"/>
        </w:rPr>
        <w:t>2016</w:t>
      </w:r>
      <w:r>
        <w:rPr>
          <w:rFonts w:hint="eastAsia" w:ascii="宋体" w:hAnsi="宋体" w:eastAsia="宋体" w:cs="宋体"/>
          <w:b w:val="0"/>
          <w:i w:val="0"/>
          <w:caps w:val="0"/>
          <w:color w:val="000000"/>
          <w:spacing w:val="0"/>
          <w:sz w:val="21"/>
          <w:szCs w:val="21"/>
          <w:bdr w:val="none" w:color="auto" w:sz="0" w:space="0"/>
        </w:rPr>
        <w:t>年</w:t>
      </w:r>
      <w:r>
        <w:rPr>
          <w:rFonts w:hint="eastAsia" w:ascii="宋体" w:hAnsi="宋体" w:eastAsia="宋体" w:cs="宋体"/>
          <w:b w:val="0"/>
          <w:i w:val="0"/>
          <w:caps w:val="0"/>
          <w:color w:val="000000"/>
          <w:spacing w:val="0"/>
          <w:sz w:val="21"/>
          <w:szCs w:val="21"/>
          <w:bdr w:val="none" w:color="auto" w:sz="0" w:space="0"/>
          <w:lang w:val="en-US"/>
        </w:rPr>
        <w:t>5</w:t>
      </w:r>
      <w:r>
        <w:rPr>
          <w:rFonts w:hint="eastAsia" w:ascii="宋体" w:hAnsi="宋体" w:eastAsia="宋体" w:cs="宋体"/>
          <w:b w:val="0"/>
          <w:i w:val="0"/>
          <w:caps w:val="0"/>
          <w:color w:val="000000"/>
          <w:spacing w:val="0"/>
          <w:sz w:val="21"/>
          <w:szCs w:val="21"/>
          <w:bdr w:val="none" w:color="auto" w:sz="0" w:space="0"/>
        </w:rPr>
        <w:t>月,该证监局认定</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公司违反《私募基金监督管理暂行办法》规定,构成向不特定对象宣传私募基金产品、向投资者承诺收益、未履行风险评估和风险揭示程序、基金产品金额低于法定标准等违法行为,对</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公司及其法定代表人给予警告,并处以</w:t>
      </w:r>
      <w:r>
        <w:rPr>
          <w:rFonts w:hint="eastAsia" w:ascii="宋体" w:hAnsi="宋体" w:eastAsia="宋体" w:cs="宋体"/>
          <w:b w:val="0"/>
          <w:i w:val="0"/>
          <w:caps w:val="0"/>
          <w:color w:val="000000"/>
          <w:spacing w:val="0"/>
          <w:sz w:val="21"/>
          <w:szCs w:val="21"/>
          <w:bdr w:val="none" w:color="auto" w:sz="0" w:space="0"/>
          <w:lang w:val="en-US"/>
        </w:rPr>
        <w:t>2</w:t>
      </w:r>
      <w:r>
        <w:rPr>
          <w:rFonts w:hint="eastAsia" w:ascii="宋体" w:hAnsi="宋体" w:eastAsia="宋体" w:cs="宋体"/>
          <w:b w:val="0"/>
          <w:i w:val="0"/>
          <w:caps w:val="0"/>
          <w:color w:val="000000"/>
          <w:spacing w:val="0"/>
          <w:sz w:val="21"/>
          <w:szCs w:val="21"/>
          <w:bdr w:val="none" w:color="auto" w:sz="0" w:space="0"/>
        </w:rPr>
        <w:t>万元罚款,对相关管理人员给予警告,并分别处以</w:t>
      </w:r>
      <w:r>
        <w:rPr>
          <w:rFonts w:hint="eastAsia" w:ascii="宋体" w:hAnsi="宋体" w:eastAsia="宋体" w:cs="宋体"/>
          <w:b w:val="0"/>
          <w:i w:val="0"/>
          <w:caps w:val="0"/>
          <w:color w:val="000000"/>
          <w:spacing w:val="0"/>
          <w:sz w:val="21"/>
          <w:szCs w:val="21"/>
          <w:bdr w:val="none" w:color="auto" w:sz="0" w:space="0"/>
          <w:lang w:val="en-US"/>
        </w:rPr>
        <w:t>1</w:t>
      </w:r>
      <w:r>
        <w:rPr>
          <w:rFonts w:hint="eastAsia" w:ascii="宋体" w:hAnsi="宋体" w:eastAsia="宋体" w:cs="宋体"/>
          <w:b w:val="0"/>
          <w:i w:val="0"/>
          <w:caps w:val="0"/>
          <w:color w:val="000000"/>
          <w:spacing w:val="0"/>
          <w:sz w:val="21"/>
          <w:szCs w:val="21"/>
          <w:bdr w:val="none" w:color="auto" w:sz="0" w:space="0"/>
        </w:rPr>
        <w:t>万元罚款。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本案是私募基金领域违规销售基金产品的典型案例,具有以下特点: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一、份额销售迷惑投资者。《私募基金监督管理暂行办法》明确规定了私募基金合格投资者要求,除单只私募基金投资额不低于</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万元外,同时单位净资产不得低于</w:t>
      </w:r>
      <w:r>
        <w:rPr>
          <w:rFonts w:hint="eastAsia" w:ascii="宋体" w:hAnsi="宋体" w:eastAsia="宋体" w:cs="宋体"/>
          <w:b w:val="0"/>
          <w:i w:val="0"/>
          <w:caps w:val="0"/>
          <w:color w:val="000000"/>
          <w:spacing w:val="0"/>
          <w:sz w:val="21"/>
          <w:szCs w:val="21"/>
          <w:bdr w:val="none" w:color="auto" w:sz="0" w:space="0"/>
          <w:lang w:val="en-US"/>
        </w:rPr>
        <w:t>1000</w:t>
      </w:r>
      <w:r>
        <w:rPr>
          <w:rFonts w:hint="eastAsia" w:ascii="宋体" w:hAnsi="宋体" w:eastAsia="宋体" w:cs="宋体"/>
          <w:b w:val="0"/>
          <w:i w:val="0"/>
          <w:caps w:val="0"/>
          <w:color w:val="000000"/>
          <w:spacing w:val="0"/>
          <w:sz w:val="21"/>
          <w:szCs w:val="21"/>
          <w:bdr w:val="none" w:color="auto" w:sz="0" w:space="0"/>
        </w:rPr>
        <w:t>万元,个人金融资产不低于</w:t>
      </w:r>
      <w:r>
        <w:rPr>
          <w:rFonts w:hint="eastAsia" w:ascii="宋体" w:hAnsi="宋体" w:eastAsia="宋体" w:cs="宋体"/>
          <w:b w:val="0"/>
          <w:i w:val="0"/>
          <w:caps w:val="0"/>
          <w:color w:val="000000"/>
          <w:spacing w:val="0"/>
          <w:sz w:val="21"/>
          <w:szCs w:val="21"/>
          <w:bdr w:val="none" w:color="auto" w:sz="0" w:space="0"/>
          <w:lang w:val="en-US"/>
        </w:rPr>
        <w:t>300</w:t>
      </w:r>
      <w:r>
        <w:rPr>
          <w:rFonts w:hint="eastAsia" w:ascii="宋体" w:hAnsi="宋体" w:eastAsia="宋体" w:cs="宋体"/>
          <w:b w:val="0"/>
          <w:i w:val="0"/>
          <w:caps w:val="0"/>
          <w:color w:val="000000"/>
          <w:spacing w:val="0"/>
          <w:sz w:val="21"/>
          <w:szCs w:val="21"/>
          <w:bdr w:val="none" w:color="auto" w:sz="0" w:space="0"/>
        </w:rPr>
        <w:t>万元或者最近三年个人年均收入不少于</w:t>
      </w:r>
      <w:r>
        <w:rPr>
          <w:rFonts w:hint="eastAsia" w:ascii="宋体" w:hAnsi="宋体" w:eastAsia="宋体" w:cs="宋体"/>
          <w:b w:val="0"/>
          <w:i w:val="0"/>
          <w:caps w:val="0"/>
          <w:color w:val="000000"/>
          <w:spacing w:val="0"/>
          <w:sz w:val="21"/>
          <w:szCs w:val="21"/>
          <w:bdr w:val="none" w:color="auto" w:sz="0" w:space="0"/>
          <w:lang w:val="en-US"/>
        </w:rPr>
        <w:t>50</w:t>
      </w:r>
      <w:r>
        <w:rPr>
          <w:rFonts w:hint="eastAsia" w:ascii="宋体" w:hAnsi="宋体" w:eastAsia="宋体" w:cs="宋体"/>
          <w:b w:val="0"/>
          <w:i w:val="0"/>
          <w:caps w:val="0"/>
          <w:color w:val="000000"/>
          <w:spacing w:val="0"/>
          <w:sz w:val="21"/>
          <w:szCs w:val="21"/>
          <w:bdr w:val="none" w:color="auto" w:sz="0" w:space="0"/>
        </w:rPr>
        <w:t>万元。</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公司利用“份额销售”突破</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万元的界限,降低了合格投资者门槛,违反了私募基金合格投资者的有关规定。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二、公开宣传诱惑投资者。《私募基金监督管理暂行办法》第十四条规定“私募基金管理人、私募基金销售机构不得向合格投资者之外的单位和个人募集资金,不得通过报刊、电台、电视、互联网等公众传播媒体或者讲座、报告会、分析会和布告、传单、手机短信、微信、博客和电子邮件等方式,向不特定对象宣传推介”。</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公司借助宣传资料和海报在公众场合公开募集资金,致使“私募基金公募化”,违反了非公开募集资金的有关规定。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三、高额收益吸引投资者。《私募基金监督管理暂行办法》第十五条规定“私募基金管理人、私募基金销售机构不得向投资者承诺投资本金不受损或者承诺最低收益”。因部分投资者有投资需求但金融知识缺乏,</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公司忽略私募投资基金不保本不保收益的基本属性,以高额、固定的收益吸引投资者,违反了私募基金销售的有关规定。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四、签订合同误导投资者。《私募基金监督管理暂行办法》第十六条规定“私募基金管理人自行销售私募基金的,应当采取问卷调查等方式,对投资者的风险识别能力和风险承担能力进行评估,由投资者书面承诺符合合格投资者条件;应当制作风险揭示书,由投资者签字确认”。私募基金产品具有较高的风险属性,需要具有一定风险识别能力和承担能力的投资者才能购买,</w:t>
      </w:r>
      <w:r>
        <w:rPr>
          <w:rFonts w:hint="eastAsia" w:ascii="宋体" w:hAnsi="宋体" w:eastAsia="宋体" w:cs="宋体"/>
          <w:b w:val="0"/>
          <w:i w:val="0"/>
          <w:caps w:val="0"/>
          <w:color w:val="000000"/>
          <w:spacing w:val="0"/>
          <w:sz w:val="21"/>
          <w:szCs w:val="21"/>
          <w:bdr w:val="none" w:color="auto" w:sz="0" w:space="0"/>
          <w:lang w:val="en-US"/>
        </w:rPr>
        <w:t>Z</w:t>
      </w:r>
      <w:r>
        <w:rPr>
          <w:rFonts w:hint="eastAsia" w:ascii="宋体" w:hAnsi="宋体" w:eastAsia="宋体" w:cs="宋体"/>
          <w:b w:val="0"/>
          <w:i w:val="0"/>
          <w:caps w:val="0"/>
          <w:color w:val="000000"/>
          <w:spacing w:val="0"/>
          <w:sz w:val="21"/>
          <w:szCs w:val="21"/>
          <w:bdr w:val="none" w:color="auto" w:sz="0" w:space="0"/>
        </w:rPr>
        <w:t>公司利用签订合同的方式给投资者制造一种“正规产品”假象,忽略其他必要的程序,意图蒙混过关。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私募基金不是想买就能买,投资者要本着对自己负责的态度,衡量自身的风险承受能力,不盲目跟风,不要在高收益的诱惑下无视风险。投资者投资私募基金要檫亮眼睛,选择正规的私募基金管理人,对存在未设置私募基金合格投资者的准入门槛、公开宣传、承诺收益等问题的私募基金,一定不要触碰。同时,私募基金不是想卖就能卖,广大私募机构要牢记私募法规、合规展业,自觉维护自身声誉和投资者合法权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4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2017-09-22T02:51:56Z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