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val="0"/>
          <w:i w:val="0"/>
          <w:caps w:val="0"/>
          <w:color w:val="0B65AA"/>
          <w:spacing w:val="0"/>
          <w:sz w:val="36"/>
          <w:szCs w:val="36"/>
        </w:rPr>
      </w:pPr>
      <w:r>
        <w:rPr>
          <w:rFonts w:hint="eastAsia" w:ascii="微软雅黑" w:hAnsi="微软雅黑" w:eastAsia="微软雅黑" w:cs="微软雅黑"/>
          <w:b w:val="0"/>
          <w:i w:val="0"/>
          <w:caps w:val="0"/>
          <w:color w:val="0B65AA"/>
          <w:spacing w:val="0"/>
          <w:sz w:val="36"/>
          <w:szCs w:val="36"/>
          <w:bdr w:val="none" w:color="auto" w:sz="0" w:space="0"/>
        </w:rPr>
        <w:t>“投资者保护 明规则、识风险案例”——</w:t>
      </w:r>
      <w:bookmarkStart w:id="0" w:name="_GoBack"/>
      <w:r>
        <w:rPr>
          <w:rFonts w:hint="eastAsia" w:ascii="微软雅黑" w:hAnsi="微软雅黑" w:eastAsia="微软雅黑" w:cs="微软雅黑"/>
          <w:b w:val="0"/>
          <w:i w:val="0"/>
          <w:caps w:val="0"/>
          <w:color w:val="0B65AA"/>
          <w:spacing w:val="0"/>
          <w:sz w:val="36"/>
          <w:szCs w:val="36"/>
          <w:bdr w:val="none" w:color="auto" w:sz="0" w:space="0"/>
        </w:rPr>
        <w:t>第三方机构违规拆分销售理财产品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0"/>
        <w:jc w:val="center"/>
        <w:rPr>
          <w:rFonts w:hint="eastAsia" w:ascii="微软雅黑" w:hAnsi="微软雅黑" w:eastAsia="微软雅黑" w:cs="微软雅黑"/>
          <w:b w:val="0"/>
          <w:i w:val="0"/>
          <w:caps w:val="0"/>
          <w:color w:val="959595"/>
          <w:spacing w:val="0"/>
          <w:sz w:val="18"/>
          <w:szCs w:val="18"/>
        </w:rPr>
      </w:pPr>
      <w:r>
        <w:rPr>
          <w:rFonts w:hint="eastAsia" w:ascii="微软雅黑" w:hAnsi="微软雅黑" w:eastAsia="微软雅黑" w:cs="微软雅黑"/>
          <w:b w:val="0"/>
          <w:i w:val="0"/>
          <w:caps w:val="0"/>
          <w:color w:val="959595"/>
          <w:spacing w:val="0"/>
          <w:kern w:val="0"/>
          <w:sz w:val="18"/>
          <w:szCs w:val="18"/>
          <w:bdr w:val="none" w:color="auto" w:sz="0" w:space="0"/>
          <w:lang w:val="en-US" w:eastAsia="zh-CN" w:bidi="ar"/>
        </w:rPr>
        <w:t>公布时间： 2017-09-20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2017-09-20 来源:西藏证监局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证券公司定向资产管理业务,是指证券公司作为资产管理人,根据资产管理合同约定的方式、条件、要求及限制,对特定单一客户资产进行</w:t>
      </w:r>
      <w:r>
        <w:rPr>
          <w:rFonts w:hint="eastAsia" w:ascii="宋体" w:hAnsi="宋体" w:eastAsia="宋体" w:cs="宋体"/>
          <w:b w:val="0"/>
          <w:i w:val="0"/>
          <w:caps w:val="0"/>
          <w:color w:val="000000"/>
          <w:spacing w:val="0"/>
          <w:sz w:val="21"/>
          <w:szCs w:val="21"/>
          <w:bdr w:val="none" w:color="auto" w:sz="0" w:space="0"/>
          <w:lang w:val="en-US"/>
        </w:rPr>
        <w:t>经营</w:t>
      </w:r>
      <w:r>
        <w:rPr>
          <w:rFonts w:hint="eastAsia" w:ascii="宋体" w:hAnsi="宋体" w:eastAsia="宋体" w:cs="宋体"/>
          <w:b w:val="0"/>
          <w:i w:val="0"/>
          <w:caps w:val="0"/>
          <w:color w:val="000000"/>
          <w:spacing w:val="0"/>
          <w:sz w:val="21"/>
          <w:szCs w:val="21"/>
          <w:bdr w:val="none" w:color="auto" w:sz="0" w:space="0"/>
        </w:rPr>
        <w:t>运作,为客户提供</w:t>
      </w:r>
      <w:r>
        <w:rPr>
          <w:rFonts w:hint="eastAsia" w:ascii="宋体" w:hAnsi="宋体" w:eastAsia="宋体" w:cs="宋体"/>
          <w:b w:val="0"/>
          <w:i w:val="0"/>
          <w:caps w:val="0"/>
          <w:color w:val="000000"/>
          <w:spacing w:val="0"/>
          <w:sz w:val="21"/>
          <w:szCs w:val="21"/>
          <w:bdr w:val="none" w:color="auto" w:sz="0" w:space="0"/>
          <w:lang w:val="en-US"/>
        </w:rPr>
        <w:t>证券</w:t>
      </w:r>
      <w:r>
        <w:rPr>
          <w:rFonts w:hint="eastAsia" w:ascii="宋体" w:hAnsi="宋体" w:eastAsia="宋体" w:cs="宋体"/>
          <w:b w:val="0"/>
          <w:i w:val="0"/>
          <w:caps w:val="0"/>
          <w:color w:val="000000"/>
          <w:spacing w:val="0"/>
          <w:sz w:val="21"/>
          <w:szCs w:val="21"/>
          <w:bdr w:val="none" w:color="auto" w:sz="0" w:space="0"/>
        </w:rPr>
        <w:t>及其它金融产品的</w:t>
      </w:r>
      <w:r>
        <w:rPr>
          <w:rFonts w:hint="eastAsia" w:ascii="宋体" w:hAnsi="宋体" w:eastAsia="宋体" w:cs="宋体"/>
          <w:b w:val="0"/>
          <w:i w:val="0"/>
          <w:caps w:val="0"/>
          <w:color w:val="000000"/>
          <w:spacing w:val="0"/>
          <w:sz w:val="21"/>
          <w:szCs w:val="21"/>
          <w:bdr w:val="none" w:color="auto" w:sz="0" w:space="0"/>
          <w:lang w:val="en-US"/>
        </w:rPr>
        <w:t>投资</w:t>
      </w:r>
      <w:r>
        <w:rPr>
          <w:rFonts w:hint="eastAsia" w:ascii="宋体" w:hAnsi="宋体" w:eastAsia="宋体" w:cs="宋体"/>
          <w:b w:val="0"/>
          <w:i w:val="0"/>
          <w:caps w:val="0"/>
          <w:color w:val="000000"/>
          <w:spacing w:val="0"/>
          <w:sz w:val="21"/>
          <w:szCs w:val="21"/>
          <w:bdr w:val="none" w:color="auto" w:sz="0" w:space="0"/>
        </w:rPr>
        <w:t>管理服务的行为。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随着证券公司资产管理业务的迅速发展,证券公司在开展资产管理业务过程中,第三方机构参与资产管理产品运作、提供投资顾问或销售服务的情况普遍存在。由于证券公司第三方合作机构遴选机制不够健全、对第三方合作机构尽职调查工作不够完善等原因,存在第三方机构在参与定向资产管理产品运作过程中有违反《</w:t>
      </w:r>
      <w:r>
        <w:rPr>
          <w:rFonts w:hint="eastAsia" w:ascii="宋体" w:hAnsi="宋体" w:eastAsia="宋体" w:cs="宋体"/>
          <w:b w:val="0"/>
          <w:i w:val="0"/>
          <w:caps w:val="0"/>
          <w:color w:val="000000"/>
          <w:spacing w:val="0"/>
          <w:sz w:val="21"/>
          <w:szCs w:val="21"/>
          <w:bdr w:val="none" w:color="auto" w:sz="0" w:space="0"/>
          <w:lang w:val="en-US"/>
        </w:rPr>
        <w:t>证券期货经营机构私募资产管理业务运作管理暂行规定</w:t>
      </w:r>
      <w:r>
        <w:rPr>
          <w:rFonts w:hint="eastAsia" w:ascii="宋体" w:hAnsi="宋体" w:eastAsia="宋体" w:cs="宋体"/>
          <w:b w:val="0"/>
          <w:i w:val="0"/>
          <w:caps w:val="0"/>
          <w:color w:val="000000"/>
          <w:spacing w:val="0"/>
          <w:sz w:val="21"/>
          <w:szCs w:val="21"/>
          <w:bdr w:val="none" w:color="auto" w:sz="0" w:space="0"/>
        </w:rPr>
        <w:t>》(以下简称《暂行规定》)的情形。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以某投资者举报第三方机构违规拆分销售证券公司定向资管产品为例。</w:t>
      </w:r>
      <w:r>
        <w:rPr>
          <w:rFonts w:hint="eastAsia" w:ascii="宋体" w:hAnsi="宋体" w:eastAsia="宋体" w:cs="宋体"/>
          <w:b w:val="0"/>
          <w:i w:val="0"/>
          <w:caps w:val="0"/>
          <w:color w:val="000000"/>
          <w:spacing w:val="0"/>
          <w:sz w:val="21"/>
          <w:szCs w:val="21"/>
          <w:bdr w:val="none" w:color="auto" w:sz="0" w:space="0"/>
          <w:lang w:val="en-US"/>
        </w:rPr>
        <w:t>A</w:t>
      </w:r>
      <w:r>
        <w:rPr>
          <w:rFonts w:hint="eastAsia" w:ascii="宋体" w:hAnsi="宋体" w:eastAsia="宋体" w:cs="宋体"/>
          <w:b w:val="0"/>
          <w:i w:val="0"/>
          <w:caps w:val="0"/>
          <w:color w:val="000000"/>
          <w:spacing w:val="0"/>
          <w:sz w:val="21"/>
          <w:szCs w:val="21"/>
          <w:bdr w:val="none" w:color="auto" w:sz="0" w:space="0"/>
        </w:rPr>
        <w:t>证券公司作为管理人,于</w:t>
      </w:r>
      <w:r>
        <w:rPr>
          <w:rFonts w:hint="eastAsia" w:ascii="宋体" w:hAnsi="宋体" w:eastAsia="宋体" w:cs="宋体"/>
          <w:b w:val="0"/>
          <w:i w:val="0"/>
          <w:caps w:val="0"/>
          <w:color w:val="000000"/>
          <w:spacing w:val="0"/>
          <w:sz w:val="21"/>
          <w:szCs w:val="21"/>
          <w:bdr w:val="none" w:color="auto" w:sz="0" w:space="0"/>
          <w:lang w:val="en-US"/>
        </w:rPr>
        <w:t>2016</w:t>
      </w:r>
      <w:r>
        <w:rPr>
          <w:rFonts w:hint="eastAsia" w:ascii="宋体" w:hAnsi="宋体" w:eastAsia="宋体" w:cs="宋体"/>
          <w:b w:val="0"/>
          <w:i w:val="0"/>
          <w:caps w:val="0"/>
          <w:color w:val="000000"/>
          <w:spacing w:val="0"/>
          <w:sz w:val="21"/>
          <w:szCs w:val="21"/>
          <w:bdr w:val="none" w:color="auto" w:sz="0" w:space="0"/>
        </w:rPr>
        <w:t>年</w:t>
      </w:r>
      <w:r>
        <w:rPr>
          <w:rFonts w:hint="eastAsia" w:ascii="宋体" w:hAnsi="宋体" w:eastAsia="宋体" w:cs="宋体"/>
          <w:b w:val="0"/>
          <w:i w:val="0"/>
          <w:caps w:val="0"/>
          <w:color w:val="000000"/>
          <w:spacing w:val="0"/>
          <w:sz w:val="21"/>
          <w:szCs w:val="21"/>
          <w:bdr w:val="none" w:color="auto" w:sz="0" w:space="0"/>
          <w:lang w:val="en-US"/>
        </w:rPr>
        <w:t>4</w:t>
      </w:r>
      <w:r>
        <w:rPr>
          <w:rFonts w:hint="eastAsia" w:ascii="宋体" w:hAnsi="宋体" w:eastAsia="宋体" w:cs="宋体"/>
          <w:b w:val="0"/>
          <w:i w:val="0"/>
          <w:caps w:val="0"/>
          <w:color w:val="000000"/>
          <w:spacing w:val="0"/>
          <w:sz w:val="21"/>
          <w:szCs w:val="21"/>
          <w:bdr w:val="none" w:color="auto" w:sz="0" w:space="0"/>
        </w:rPr>
        <w:t>月成立了一年期定向资产管理计划(以下简称</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产品),委托人为</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股权交易中心(以下简称</w:t>
      </w:r>
      <w:r>
        <w:rPr>
          <w:rFonts w:hint="eastAsia" w:ascii="宋体" w:hAnsi="宋体" w:eastAsia="宋体" w:cs="宋体"/>
          <w:b w:val="0"/>
          <w:i w:val="0"/>
          <w:caps w:val="0"/>
          <w:color w:val="000000"/>
          <w:spacing w:val="0"/>
          <w:sz w:val="21"/>
          <w:szCs w:val="21"/>
          <w:bdr w:val="none" w:color="auto" w:sz="0" w:space="0"/>
          <w:lang w:val="en-US"/>
        </w:rPr>
        <w:t>B</w:t>
      </w:r>
      <w:r>
        <w:rPr>
          <w:rFonts w:hint="eastAsia" w:ascii="宋体" w:hAnsi="宋体" w:eastAsia="宋体" w:cs="宋体"/>
          <w:b w:val="0"/>
          <w:i w:val="0"/>
          <w:caps w:val="0"/>
          <w:color w:val="000000"/>
          <w:spacing w:val="0"/>
          <w:sz w:val="21"/>
          <w:szCs w:val="21"/>
          <w:bdr w:val="none" w:color="auto" w:sz="0" w:space="0"/>
        </w:rPr>
        <w:t>股交中心),应委托人要求聘请</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银行(以下简称</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银行)担任</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产品的投资顾问。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在</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产品销售过程中,</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银行与某基金销售平台(以下简称</w:t>
      </w:r>
      <w:r>
        <w:rPr>
          <w:rFonts w:hint="eastAsia" w:ascii="宋体" w:hAnsi="宋体" w:eastAsia="宋体" w:cs="宋体"/>
          <w:b w:val="0"/>
          <w:i w:val="0"/>
          <w:caps w:val="0"/>
          <w:color w:val="000000"/>
          <w:spacing w:val="0"/>
          <w:sz w:val="21"/>
          <w:szCs w:val="21"/>
          <w:bdr w:val="none" w:color="auto" w:sz="0" w:space="0"/>
          <w:lang w:val="en-US"/>
        </w:rPr>
        <w:t>D</w:t>
      </w:r>
      <w:r>
        <w:rPr>
          <w:rFonts w:hint="eastAsia" w:ascii="宋体" w:hAnsi="宋体" w:eastAsia="宋体" w:cs="宋体"/>
          <w:b w:val="0"/>
          <w:i w:val="0"/>
          <w:caps w:val="0"/>
          <w:color w:val="000000"/>
          <w:spacing w:val="0"/>
          <w:sz w:val="21"/>
          <w:szCs w:val="21"/>
          <w:bdr w:val="none" w:color="auto" w:sz="0" w:space="0"/>
        </w:rPr>
        <w:t>销售平台)将</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产品拆分为</w:t>
      </w:r>
      <w:r>
        <w:rPr>
          <w:rFonts w:hint="eastAsia" w:ascii="宋体" w:hAnsi="宋体" w:eastAsia="宋体" w:cs="宋体"/>
          <w:b w:val="0"/>
          <w:i w:val="0"/>
          <w:caps w:val="0"/>
          <w:color w:val="000000"/>
          <w:spacing w:val="0"/>
          <w:sz w:val="21"/>
          <w:szCs w:val="21"/>
          <w:bdr w:val="none" w:color="auto" w:sz="0" w:space="0"/>
          <w:lang w:val="en-US"/>
        </w:rPr>
        <w:t>30</w:t>
      </w:r>
      <w:r>
        <w:rPr>
          <w:rFonts w:hint="eastAsia" w:ascii="宋体" w:hAnsi="宋体" w:eastAsia="宋体" w:cs="宋体"/>
          <w:b w:val="0"/>
          <w:i w:val="0"/>
          <w:caps w:val="0"/>
          <w:color w:val="000000"/>
          <w:spacing w:val="0"/>
          <w:sz w:val="21"/>
          <w:szCs w:val="21"/>
          <w:bdr w:val="none" w:color="auto" w:sz="0" w:space="0"/>
        </w:rPr>
        <w:t>天短期理财产品(以下简称</w:t>
      </w:r>
      <w:r>
        <w:rPr>
          <w:rFonts w:hint="eastAsia" w:ascii="宋体" w:hAnsi="宋体" w:eastAsia="宋体" w:cs="宋体"/>
          <w:b w:val="0"/>
          <w:i w:val="0"/>
          <w:caps w:val="0"/>
          <w:color w:val="000000"/>
          <w:spacing w:val="0"/>
          <w:sz w:val="21"/>
          <w:szCs w:val="21"/>
          <w:bdr w:val="none" w:color="auto" w:sz="0" w:space="0"/>
          <w:lang w:val="en-US"/>
        </w:rPr>
        <w:t>Y</w:t>
      </w:r>
      <w:r>
        <w:rPr>
          <w:rFonts w:hint="eastAsia" w:ascii="宋体" w:hAnsi="宋体" w:eastAsia="宋体" w:cs="宋体"/>
          <w:b w:val="0"/>
          <w:i w:val="0"/>
          <w:caps w:val="0"/>
          <w:color w:val="000000"/>
          <w:spacing w:val="0"/>
          <w:sz w:val="21"/>
          <w:szCs w:val="21"/>
          <w:bdr w:val="none" w:color="auto" w:sz="0" w:space="0"/>
        </w:rPr>
        <w:t>产品),投资最低限额为</w:t>
      </w:r>
      <w:r>
        <w:rPr>
          <w:rFonts w:hint="eastAsia" w:ascii="宋体" w:hAnsi="宋体" w:eastAsia="宋体" w:cs="宋体"/>
          <w:b w:val="0"/>
          <w:i w:val="0"/>
          <w:caps w:val="0"/>
          <w:color w:val="000000"/>
          <w:spacing w:val="0"/>
          <w:sz w:val="21"/>
          <w:szCs w:val="21"/>
          <w:bdr w:val="none" w:color="auto" w:sz="0" w:space="0"/>
          <w:lang w:val="en-US"/>
        </w:rPr>
        <w:t>1000</w:t>
      </w:r>
      <w:r>
        <w:rPr>
          <w:rFonts w:hint="eastAsia" w:ascii="宋体" w:hAnsi="宋体" w:eastAsia="宋体" w:cs="宋体"/>
          <w:b w:val="0"/>
          <w:i w:val="0"/>
          <w:caps w:val="0"/>
          <w:color w:val="000000"/>
          <w:spacing w:val="0"/>
          <w:sz w:val="21"/>
          <w:szCs w:val="21"/>
          <w:bdr w:val="none" w:color="auto" w:sz="0" w:space="0"/>
        </w:rPr>
        <w:t>元</w:t>
      </w:r>
      <w:r>
        <w:rPr>
          <w:rFonts w:hint="eastAsia" w:ascii="宋体" w:hAnsi="宋体" w:eastAsia="宋体" w:cs="宋体"/>
          <w:b w:val="0"/>
          <w:i w:val="0"/>
          <w:caps w:val="0"/>
          <w:color w:val="000000"/>
          <w:spacing w:val="0"/>
          <w:sz w:val="21"/>
          <w:szCs w:val="21"/>
          <w:bdr w:val="none" w:color="auto" w:sz="0" w:space="0"/>
          <w:lang w:val="en-US"/>
        </w:rPr>
        <w:t>/</w:t>
      </w:r>
      <w:r>
        <w:rPr>
          <w:rFonts w:hint="eastAsia" w:ascii="宋体" w:hAnsi="宋体" w:eastAsia="宋体" w:cs="宋体"/>
          <w:b w:val="0"/>
          <w:i w:val="0"/>
          <w:caps w:val="0"/>
          <w:color w:val="000000"/>
          <w:spacing w:val="0"/>
          <w:sz w:val="21"/>
          <w:szCs w:val="21"/>
          <w:bdr w:val="none" w:color="auto" w:sz="0" w:space="0"/>
        </w:rPr>
        <w:t>笔,在产品投向中,描述为投资于</w:t>
      </w:r>
      <w:r>
        <w:rPr>
          <w:rFonts w:hint="eastAsia" w:ascii="宋体" w:hAnsi="宋体" w:eastAsia="宋体" w:cs="宋体"/>
          <w:b w:val="0"/>
          <w:i w:val="0"/>
          <w:caps w:val="0"/>
          <w:color w:val="000000"/>
          <w:spacing w:val="0"/>
          <w:sz w:val="21"/>
          <w:szCs w:val="21"/>
          <w:bdr w:val="none" w:color="auto" w:sz="0" w:space="0"/>
          <w:lang w:val="en-US"/>
        </w:rPr>
        <w:t>A</w:t>
      </w:r>
      <w:r>
        <w:rPr>
          <w:rFonts w:hint="eastAsia" w:ascii="宋体" w:hAnsi="宋体" w:eastAsia="宋体" w:cs="宋体"/>
          <w:b w:val="0"/>
          <w:i w:val="0"/>
          <w:caps w:val="0"/>
          <w:color w:val="000000"/>
          <w:spacing w:val="0"/>
          <w:sz w:val="21"/>
          <w:szCs w:val="21"/>
          <w:bdr w:val="none" w:color="auto" w:sz="0" w:space="0"/>
        </w:rPr>
        <w:t>证券公司发行的某定向资产管理计划(即</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银行并未参与</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产品的实际运作。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监管部门认为,</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银行在销售</w:t>
      </w:r>
      <w:r>
        <w:rPr>
          <w:rFonts w:hint="eastAsia" w:ascii="宋体" w:hAnsi="宋体" w:eastAsia="宋体" w:cs="宋体"/>
          <w:b w:val="0"/>
          <w:i w:val="0"/>
          <w:caps w:val="0"/>
          <w:color w:val="000000"/>
          <w:spacing w:val="0"/>
          <w:sz w:val="21"/>
          <w:szCs w:val="21"/>
          <w:bdr w:val="none" w:color="auto" w:sz="0" w:space="0"/>
          <w:lang w:val="en-US"/>
        </w:rPr>
        <w:t>Y</w:t>
      </w:r>
      <w:r>
        <w:rPr>
          <w:rFonts w:hint="eastAsia" w:ascii="宋体" w:hAnsi="宋体" w:eastAsia="宋体" w:cs="宋体"/>
          <w:b w:val="0"/>
          <w:i w:val="0"/>
          <w:caps w:val="0"/>
          <w:color w:val="000000"/>
          <w:spacing w:val="0"/>
          <w:sz w:val="21"/>
          <w:szCs w:val="21"/>
          <w:bdr w:val="none" w:color="auto" w:sz="0" w:space="0"/>
        </w:rPr>
        <w:t>产品过程中,存在下列问题:一是</w:t>
      </w:r>
      <w:r>
        <w:rPr>
          <w:rFonts w:hint="eastAsia" w:ascii="宋体" w:hAnsi="宋体" w:eastAsia="宋体" w:cs="宋体"/>
          <w:b w:val="0"/>
          <w:i w:val="0"/>
          <w:caps w:val="0"/>
          <w:color w:val="000000"/>
          <w:spacing w:val="0"/>
          <w:sz w:val="21"/>
          <w:szCs w:val="21"/>
          <w:bdr w:val="none" w:color="auto" w:sz="0" w:space="0"/>
          <w:lang w:val="en-US"/>
        </w:rPr>
        <w:t>Y</w:t>
      </w:r>
      <w:r>
        <w:rPr>
          <w:rFonts w:hint="eastAsia" w:ascii="宋体" w:hAnsi="宋体" w:eastAsia="宋体" w:cs="宋体"/>
          <w:b w:val="0"/>
          <w:i w:val="0"/>
          <w:caps w:val="0"/>
          <w:color w:val="000000"/>
          <w:spacing w:val="0"/>
          <w:sz w:val="21"/>
          <w:szCs w:val="21"/>
          <w:bdr w:val="none" w:color="auto" w:sz="0" w:space="0"/>
        </w:rPr>
        <w:t>产品投资者门槛不符合</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的投资者适当性要求,涉嫌违反《暂行规定》第三条第(五)款“向非合格投资者销售资产管理计划,明知投资者实质不符合合格投资者标准,仍予以销售确认,或者通过拆分转让资产管理计划份额或其收益权、为投资者直接或间接提供短期借贷等方式,变相突破合格投资者标准” ;二是</w:t>
      </w:r>
      <w:r>
        <w:rPr>
          <w:rFonts w:hint="eastAsia" w:ascii="宋体" w:hAnsi="宋体" w:eastAsia="宋体" w:cs="宋体"/>
          <w:b w:val="0"/>
          <w:i w:val="0"/>
          <w:caps w:val="0"/>
          <w:color w:val="000000"/>
          <w:spacing w:val="0"/>
          <w:sz w:val="21"/>
          <w:szCs w:val="21"/>
          <w:bdr w:val="none" w:color="auto" w:sz="0" w:space="0"/>
          <w:lang w:val="en-US"/>
        </w:rPr>
        <w:t>Y</w:t>
      </w:r>
      <w:r>
        <w:rPr>
          <w:rFonts w:hint="eastAsia" w:ascii="宋体" w:hAnsi="宋体" w:eastAsia="宋体" w:cs="宋体"/>
          <w:b w:val="0"/>
          <w:i w:val="0"/>
          <w:caps w:val="0"/>
          <w:color w:val="000000"/>
          <w:spacing w:val="0"/>
          <w:sz w:val="21"/>
          <w:szCs w:val="21"/>
          <w:bdr w:val="none" w:color="auto" w:sz="0" w:space="0"/>
        </w:rPr>
        <w:t>产品为公开募集理财产品,投资者人数有可能超过</w:t>
      </w:r>
      <w:r>
        <w:rPr>
          <w:rFonts w:hint="eastAsia" w:ascii="宋体" w:hAnsi="宋体" w:eastAsia="宋体" w:cs="宋体"/>
          <w:b w:val="0"/>
          <w:i w:val="0"/>
          <w:caps w:val="0"/>
          <w:color w:val="000000"/>
          <w:spacing w:val="0"/>
          <w:sz w:val="21"/>
          <w:szCs w:val="21"/>
          <w:bdr w:val="none" w:color="auto" w:sz="0" w:space="0"/>
          <w:lang w:val="en-US"/>
        </w:rPr>
        <w:t>200</w:t>
      </w:r>
      <w:r>
        <w:rPr>
          <w:rFonts w:hint="eastAsia" w:ascii="宋体" w:hAnsi="宋体" w:eastAsia="宋体" w:cs="宋体"/>
          <w:b w:val="0"/>
          <w:i w:val="0"/>
          <w:caps w:val="0"/>
          <w:color w:val="000000"/>
          <w:spacing w:val="0"/>
          <w:sz w:val="21"/>
          <w:szCs w:val="21"/>
          <w:bdr w:val="none" w:color="auto" w:sz="0" w:space="0"/>
        </w:rPr>
        <w:t>人,存在违反《暂行规定》第三条第(六)款“单一资产管理计划的投资者人数超过</w:t>
      </w:r>
      <w:r>
        <w:rPr>
          <w:rFonts w:hint="eastAsia" w:ascii="宋体" w:hAnsi="宋体" w:eastAsia="宋体" w:cs="宋体"/>
          <w:b w:val="0"/>
          <w:i w:val="0"/>
          <w:caps w:val="0"/>
          <w:color w:val="000000"/>
          <w:spacing w:val="0"/>
          <w:sz w:val="21"/>
          <w:szCs w:val="21"/>
          <w:bdr w:val="none" w:color="auto" w:sz="0" w:space="0"/>
          <w:lang w:val="en-US"/>
        </w:rPr>
        <w:t>200</w:t>
      </w:r>
      <w:r>
        <w:rPr>
          <w:rFonts w:hint="eastAsia" w:ascii="宋体" w:hAnsi="宋体" w:eastAsia="宋体" w:cs="宋体"/>
          <w:b w:val="0"/>
          <w:i w:val="0"/>
          <w:caps w:val="0"/>
          <w:color w:val="000000"/>
          <w:spacing w:val="0"/>
          <w:sz w:val="21"/>
          <w:szCs w:val="21"/>
          <w:bdr w:val="none" w:color="auto" w:sz="0" w:space="0"/>
        </w:rPr>
        <w:t>人……”的可能;三是</w:t>
      </w:r>
      <w:r>
        <w:rPr>
          <w:rFonts w:hint="eastAsia" w:ascii="宋体" w:hAnsi="宋体" w:eastAsia="宋体" w:cs="宋体"/>
          <w:b w:val="0"/>
          <w:i w:val="0"/>
          <w:caps w:val="0"/>
          <w:color w:val="000000"/>
          <w:spacing w:val="0"/>
          <w:sz w:val="21"/>
          <w:szCs w:val="21"/>
          <w:bdr w:val="none" w:color="auto" w:sz="0" w:space="0"/>
          <w:lang w:val="en-US"/>
        </w:rPr>
        <w:t>Y</w:t>
      </w:r>
      <w:r>
        <w:rPr>
          <w:rFonts w:hint="eastAsia" w:ascii="宋体" w:hAnsi="宋体" w:eastAsia="宋体" w:cs="宋体"/>
          <w:b w:val="0"/>
          <w:i w:val="0"/>
          <w:caps w:val="0"/>
          <w:color w:val="000000"/>
          <w:spacing w:val="0"/>
          <w:sz w:val="21"/>
          <w:szCs w:val="21"/>
          <w:bdr w:val="none" w:color="auto" w:sz="0" w:space="0"/>
        </w:rPr>
        <w:t>产品存续期为</w:t>
      </w:r>
      <w:r>
        <w:rPr>
          <w:rFonts w:hint="eastAsia" w:ascii="宋体" w:hAnsi="宋体" w:eastAsia="宋体" w:cs="宋体"/>
          <w:b w:val="0"/>
          <w:i w:val="0"/>
          <w:caps w:val="0"/>
          <w:color w:val="000000"/>
          <w:spacing w:val="0"/>
          <w:sz w:val="21"/>
          <w:szCs w:val="21"/>
          <w:bdr w:val="none" w:color="auto" w:sz="0" w:space="0"/>
          <w:lang w:val="en-US"/>
        </w:rPr>
        <w:t>30</w:t>
      </w:r>
      <w:r>
        <w:rPr>
          <w:rFonts w:hint="eastAsia" w:ascii="宋体" w:hAnsi="宋体" w:eastAsia="宋体" w:cs="宋体"/>
          <w:b w:val="0"/>
          <w:i w:val="0"/>
          <w:caps w:val="0"/>
          <w:color w:val="000000"/>
          <w:spacing w:val="0"/>
          <w:sz w:val="21"/>
          <w:szCs w:val="21"/>
          <w:bdr w:val="none" w:color="auto" w:sz="0" w:space="0"/>
        </w:rPr>
        <w:t>天,投向的</w:t>
      </w:r>
      <w:r>
        <w:rPr>
          <w:rFonts w:hint="eastAsia" w:ascii="宋体" w:hAnsi="宋体" w:eastAsia="宋体" w:cs="宋体"/>
          <w:b w:val="0"/>
          <w:i w:val="0"/>
          <w:caps w:val="0"/>
          <w:color w:val="000000"/>
          <w:spacing w:val="0"/>
          <w:sz w:val="21"/>
          <w:szCs w:val="21"/>
          <w:bdr w:val="none" w:color="auto" w:sz="0" w:space="0"/>
          <w:lang w:val="en-US"/>
        </w:rPr>
        <w:t>X</w:t>
      </w:r>
      <w:r>
        <w:rPr>
          <w:rFonts w:hint="eastAsia" w:ascii="宋体" w:hAnsi="宋体" w:eastAsia="宋体" w:cs="宋体"/>
          <w:b w:val="0"/>
          <w:i w:val="0"/>
          <w:caps w:val="0"/>
          <w:color w:val="000000"/>
          <w:spacing w:val="0"/>
          <w:sz w:val="21"/>
          <w:szCs w:val="21"/>
          <w:bdr w:val="none" w:color="auto" w:sz="0" w:space="0"/>
        </w:rPr>
        <w:t>产品存续期为</w:t>
      </w:r>
      <w:r>
        <w:rPr>
          <w:rFonts w:hint="eastAsia" w:ascii="宋体" w:hAnsi="宋体" w:eastAsia="宋体" w:cs="宋体"/>
          <w:b w:val="0"/>
          <w:i w:val="0"/>
          <w:caps w:val="0"/>
          <w:color w:val="000000"/>
          <w:spacing w:val="0"/>
          <w:sz w:val="21"/>
          <w:szCs w:val="21"/>
          <w:bdr w:val="none" w:color="auto" w:sz="0" w:space="0"/>
          <w:lang w:val="en-US"/>
        </w:rPr>
        <w:t>1</w:t>
      </w:r>
      <w:r>
        <w:rPr>
          <w:rFonts w:hint="eastAsia" w:ascii="宋体" w:hAnsi="宋体" w:eastAsia="宋体" w:cs="宋体"/>
          <w:b w:val="0"/>
          <w:i w:val="0"/>
          <w:caps w:val="0"/>
          <w:color w:val="000000"/>
          <w:spacing w:val="0"/>
          <w:sz w:val="21"/>
          <w:szCs w:val="21"/>
          <w:bdr w:val="none" w:color="auto" w:sz="0" w:space="0"/>
        </w:rPr>
        <w:t>年,存在违反《暂行规定》第九条第(五)款“……以后期投资者的投资资金向前期投资者兑付投资本金和收益”的嫌疑。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证券公司定向资产管理产品属私募理财产品范畴,具有较高的风险属性,对投资者适当性有较高要求,如单笔投资金额要求不低于</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万元,但拆分销售降低了投资者门槛,使得风险承受能力不足的投资者购买了风险属性相对较高的理财产品,甚至可能出现投资者人数超过</w:t>
      </w:r>
      <w:r>
        <w:rPr>
          <w:rFonts w:hint="eastAsia" w:ascii="宋体" w:hAnsi="宋体" w:eastAsia="宋体" w:cs="宋体"/>
          <w:b w:val="0"/>
          <w:i w:val="0"/>
          <w:caps w:val="0"/>
          <w:color w:val="000000"/>
          <w:spacing w:val="0"/>
          <w:sz w:val="21"/>
          <w:szCs w:val="21"/>
          <w:bdr w:val="none" w:color="auto" w:sz="0" w:space="0"/>
          <w:lang w:val="en-US"/>
        </w:rPr>
        <w:t>200</w:t>
      </w:r>
      <w:r>
        <w:rPr>
          <w:rFonts w:hint="eastAsia" w:ascii="宋体" w:hAnsi="宋体" w:eastAsia="宋体" w:cs="宋体"/>
          <w:b w:val="0"/>
          <w:i w:val="0"/>
          <w:caps w:val="0"/>
          <w:color w:val="000000"/>
          <w:spacing w:val="0"/>
          <w:sz w:val="21"/>
          <w:szCs w:val="21"/>
          <w:bdr w:val="none" w:color="auto" w:sz="0" w:space="0"/>
        </w:rPr>
        <w:t>人的情形。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结合上述案例,投资者在投资过程中应在以下几个方面,提升风险防范意识,保护自身合法权益: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一是要强化风险意识。证券期货投资者购买产品或服务,应牢记“四个合法”原则:合法机构、合法场所、合法人员、合法产品或服务。应选择合法机构、在合法营业场所中,接受合法从业人员推荐的合法产品或服务。可以通过监管部门及行业自律组织官网查询机构信息,在营业场所查看机构工商登记注册资料、主管部门业务经营许可证明文件、从业人员公示等信息,可以向机构工作人员索取产品的批复或备案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二是要了解产品投向。投资者购买金融产品特别是通过非现场渠道购买金融产品时,应仔细阅读产品说明书,要弄明白自己买的是谁的产品、资金划往何处投向何方、自身可能承受的最大损失等情况,关注产品存续期限与投资标的期限是否一致,对于所投资的产品要有清晰的认识,如发现异常,应及时咨询监管部门或行业自律组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三是要储备投资知识。投资者购买金融产品或服务,应当牢记“市场有风险、入市需谨慎”,持续学习金融知识,树立科学投资理念,关注监管部门、自律组织、行业合法机构官方网站、微信公众号等,了解市场动态,特别是关注监管部门通报的行业典型违法违规案例,提高风险识别能力。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24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2017-09-22T02:52:28Z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