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color w:val="0B65AA"/>
          <w:sz w:val="36"/>
          <w:szCs w:val="36"/>
        </w:rPr>
      </w:pPr>
      <w:r>
        <w:rPr>
          <w:color w:val="0B65AA"/>
          <w:sz w:val="36"/>
          <w:szCs w:val="36"/>
          <w:shd w:val="clear" w:fill="FFFFFF"/>
        </w:rPr>
        <w:t>债券风险提示词条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95959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959595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公布时间： 2017-11-22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 </w:t>
      </w:r>
    </w:p>
    <w:p>
      <w:pPr>
        <w:pStyle w:val="4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中国证监会投资者保护局、中国证监会公司债券监管部提醒您: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.选择适合自己的债券品种,做理性合格投资者。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ind w:left="0" w:right="0" w:firstLine="360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.掌握风险识别和承担能力,知悉并自行承担公司债券投资风险。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 xml:space="preserve">    3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.仔细阅读募集说明书、审计报告、资产评估报告、评级报告等信息。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 xml:space="preserve">    4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.投资公司债券,个人名下金融资产不得低于五百万元人民币。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 xml:space="preserve">    5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.面向公众投资者公开发行的公司债券,信用评级要达到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>AAA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级。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 xml:space="preserve">    6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.阅读债券募集说明书,关注公司债券募集资金用途。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  <w:lang w:val="en-US"/>
        </w:rPr>
        <w:t xml:space="preserve">    7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.选择合法证券经营机构,树立理性投资观念。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E3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哓哓</cp:lastModifiedBy>
  <dcterms:modified xsi:type="dcterms:W3CDTF">2017-11-23T02:59:46Z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