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42" w:rsidRPr="00292342" w:rsidRDefault="00292342" w:rsidP="00292342">
      <w:pPr>
        <w:widowControl/>
        <w:shd w:val="clear" w:color="auto" w:fill="FFFFFF"/>
        <w:spacing w:after="75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29234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债券投资者权益保护教育专项活动：债券典型风险案例（一）</w:t>
      </w:r>
    </w:p>
    <w:p w:rsidR="00292342" w:rsidRPr="00292342" w:rsidRDefault="00292342" w:rsidP="00292342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292342">
        <w:rPr>
          <w:rFonts w:ascii="微软雅黑" w:eastAsia="微软雅黑" w:hAnsi="微软雅黑" w:cs="宋体" w:hint="eastAsia"/>
          <w:color w:val="999999"/>
          <w:kern w:val="0"/>
        </w:rPr>
        <w:t>2017-11-29</w:t>
      </w:r>
      <w:r w:rsidRPr="00292342">
        <w:rPr>
          <w:rFonts w:ascii="微软雅黑" w:eastAsia="微软雅黑" w:hAnsi="微软雅黑" w:cs="宋体" w:hint="eastAsia"/>
          <w:color w:val="000000"/>
          <w:kern w:val="0"/>
          <w:sz w:val="2"/>
        </w:rPr>
        <w:t> </w:t>
      </w:r>
      <w:r w:rsidRPr="00292342">
        <w:rPr>
          <w:rFonts w:ascii="微软雅黑" w:eastAsia="微软雅黑" w:hAnsi="微软雅黑" w:cs="宋体" w:hint="eastAsia"/>
          <w:color w:val="999999"/>
          <w:kern w:val="0"/>
        </w:rPr>
        <w:t>上交所投教</w:t>
      </w:r>
      <w:r w:rsidRPr="00292342">
        <w:rPr>
          <w:rFonts w:ascii="微软雅黑" w:eastAsia="微软雅黑" w:hAnsi="微软雅黑" w:cs="宋体" w:hint="eastAsia"/>
          <w:color w:val="000000"/>
          <w:kern w:val="0"/>
          <w:sz w:val="2"/>
        </w:rPr>
        <w:t> </w:t>
      </w:r>
      <w:hyperlink r:id="rId4" w:anchor="#" w:history="1">
        <w:r w:rsidRPr="00292342">
          <w:rPr>
            <w:rFonts w:ascii="微软雅黑" w:eastAsia="微软雅黑" w:hAnsi="微软雅黑" w:cs="宋体" w:hint="eastAsia"/>
            <w:color w:val="4395F5"/>
            <w:kern w:val="0"/>
          </w:rPr>
          <w:t>百</w:t>
        </w:r>
        <w:proofErr w:type="gramStart"/>
        <w:r w:rsidRPr="00292342">
          <w:rPr>
            <w:rFonts w:ascii="微软雅黑" w:eastAsia="微软雅黑" w:hAnsi="微软雅黑" w:cs="宋体" w:hint="eastAsia"/>
            <w:color w:val="4395F5"/>
            <w:kern w:val="0"/>
          </w:rPr>
          <w:t>川众学</w:t>
        </w:r>
        <w:proofErr w:type="gramEnd"/>
      </w:hyperlink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编者按：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      近日，中国证监会组织开展债券投资者权益保护教育专项活动，向广大中小投资者开展债券知识普及和风险揭示工作。前几期，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哞哞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向投资者们介绍了资产证券化的相关知识，本期开始，小编为投资者们选取典型的债券风险案例进行分析，敬请关注。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572000" cy="4448175"/>
            <wp:effectExtent l="0" t="0" r="0" b="0"/>
            <wp:docPr id="2" name="图片 2" descr="https://mmbiz.qpic.cn/mmbiz_gif/L6ENsa1qkJ4IrjBlukEFB9S5EDDliciaImGuyAQG8ibB7FFzpkCRn90cMHXNx8j63xT6icNZ4wCIO3lkubrJJwot4A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gif/L6ENsa1qkJ4IrjBlukEFB9S5EDDliciaImGuyAQG8ibB7FFzpkCRn90cMHXNx8j63xT6icNZ4wCIO3lkubrJJwot4A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C公司付息违约和终止上市风险处置案例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        C公司主营业务为生产和销售单晶硅和多晶硅太阳能电池组件，注册地为S市，实际控制人为N。公司于2010年11月X日在交易所上市。2012年3月，公司发行了10亿元存续期为5年、附第3年末发行人上调票面利率选择权及投资者回售选择权的公司债（以下简称“11C债”），发行利率为8.98％，每年的3月X日为债券付息日。2014年3月X日，公司发布公告，无法按期全额支付第二期债券利息已构成实质性违约，引发国内外市场、媒体的高度关注，打破了刚性兑付的预期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一、风险事件成因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1、全球光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伏行业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陷入低谷，国内光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伏企业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内忧外患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外因：</w:t>
      </w: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美国市场的“双反”已对中国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光伏业形成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巨大的冲击，欧洲市场的“双反”调查及萎靡经济下薄弱的需求更是给中国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光伏业致命一击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内因：</w:t>
      </w: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国内光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伏产业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盲目扩张、产能过剩也是一个重要问题。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2、公司转型过于激进，未充分考虑流动性风险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面对经营压力，2011年下半年，C公司开始率先尝试全面向电站投资建设转型：一方面自身大量进行电站项目投资，另一方面，组件销售也全面直接面向电站投资商。该转型虽然可能提高公司的组件获利水平，但也将公司的资金周转风险推向了极致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3、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欧债危机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使公司资金陷入全面困境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C公司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未预测到欧债危机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以及欧洲经济衰退导致当地银行对电站建设贷款收紧银根，贷款比例缩减、放款速度拖延。C公司外售组件的客户以光伏电站投资商为主，在欧洲银行不断紧缩银根的趋势下，客户付款周期一拖再拖，进一步加剧了C公司资金链的紧张情况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4、国内银行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抽贷导致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资金链断裂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光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伏行业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陷入困境后，国内银行将光伏列入重点关注行业，紧缩银根，加大贷款催收力度，公司融资渠道受到了极大限制。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二、风险事件应对及处置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1、流动性风险化解方案执行情况不佳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C公司制定了化解流动性风险的方案，包括加速应收账款的催收工作、出让已具备变现条件的海外电站、尽快处置境内非核心资产、自主生产和代工模式相结合等措施，但未能摆脱流动性危机。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2、公司债第二期利息未能如期足额偿付，公司债终止上市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2014年3月，“11C债”第二期8980万利息仅按期支付400万元，构成实质性违约。2014年5月X日，因公司连续三年亏损，“11C债”终止上市。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3、破产重整化解风险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2014年，债权人向法院提出关于对C公司进行破产重整的申请并得到法院受理。经过债务重整，“11C债”的本金、利息、复利、罚息等均兑付完毕，违约风险化解。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三、案例启示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“11C债”违约事件打破了刚性兑付的预期，揭示了债券投资天然信用风险的属性，给我们广大中小投资者有很多启示。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其一：C公司危机的爆发离不开行业的剧烈下滑，若投资者在项目投资过程中能对行业的发展趋势进行准确的预判，预先采取行动规避风险，就有可能减少损失。因此，在进行公司债投资时，投资者应对宏观经济、行业发展情况保持高度关注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其二：大多数个人投资者认购公司债时并未对公司债的风险有充分的判断，认为公司债作为债权类产品等价于银行存款保本保息，从而在债券存在偿付风险时出现了部分过激的举动。因此，投资者需有一定风险识别和承担能力，防范公司债投资风险。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本文根据中国证监会公布的案例整理</w:t>
      </w:r>
    </w:p>
    <w:p w:rsidR="00292342" w:rsidRPr="00292342" w:rsidRDefault="00292342" w:rsidP="00292342">
      <w:pPr>
        <w:widowControl/>
        <w:shd w:val="clear" w:color="auto" w:fill="E5F1F6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hyperlink r:id="rId6" w:anchor="wechat_redirect" w:tgtFrame="_blank" w:history="1">
        <w:r w:rsidRPr="00292342">
          <w:rPr>
            <w:rFonts w:ascii="微软雅黑" w:eastAsia="微软雅黑" w:hAnsi="微软雅黑" w:cs="宋体" w:hint="eastAsia"/>
            <w:color w:val="4395F5"/>
            <w:kern w:val="0"/>
            <w:sz w:val="24"/>
            <w:szCs w:val="24"/>
          </w:rPr>
          <w:t>债券投资者权益保护教育专项活动：资产证券化业务知识问答（第一期）</w:t>
        </w:r>
      </w:hyperlink>
    </w:p>
    <w:p w:rsidR="00292342" w:rsidRPr="00292342" w:rsidRDefault="00292342" w:rsidP="00292342">
      <w:pPr>
        <w:widowControl/>
        <w:shd w:val="clear" w:color="auto" w:fill="E5F1F6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hyperlink r:id="rId7" w:anchor="wechat_redirect" w:tgtFrame="_blank" w:history="1">
        <w:r w:rsidRPr="00292342">
          <w:rPr>
            <w:rFonts w:ascii="微软雅黑" w:eastAsia="微软雅黑" w:hAnsi="微软雅黑" w:cs="宋体" w:hint="eastAsia"/>
            <w:color w:val="4395F5"/>
            <w:kern w:val="0"/>
            <w:sz w:val="24"/>
            <w:szCs w:val="24"/>
          </w:rPr>
          <w:t>债券投资者权益保护教育专项活动：资产证券化业务知识问答（第二期）</w:t>
        </w:r>
      </w:hyperlink>
    </w:p>
    <w:p w:rsidR="00292342" w:rsidRPr="00292342" w:rsidRDefault="00292342" w:rsidP="00292342">
      <w:pPr>
        <w:widowControl/>
        <w:shd w:val="clear" w:color="auto" w:fill="E5F1F6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hyperlink r:id="rId8" w:anchor="wechat_redirect" w:tgtFrame="_blank" w:history="1">
        <w:r w:rsidRPr="00292342">
          <w:rPr>
            <w:rFonts w:ascii="微软雅黑" w:eastAsia="微软雅黑" w:hAnsi="微软雅黑" w:cs="宋体" w:hint="eastAsia"/>
            <w:color w:val="4395F5"/>
            <w:kern w:val="0"/>
            <w:sz w:val="24"/>
            <w:szCs w:val="24"/>
          </w:rPr>
          <w:t>债券投资者权益保护教育专项活动：资产证券化业务知识问答（第三期）</w:t>
        </w:r>
      </w:hyperlink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免责声明</w:t>
      </w:r>
    </w:p>
    <w:p w:rsid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百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川众学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平台由上交所倾力打造，旨在打造投资者教育精品的集中展示平台，所选编的作品不构成任何投资建议，投资者不应以该等信息取代其独立判断或仅根据该等信息做出决策。百</w:t>
      </w:r>
      <w:proofErr w:type="gramStart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川众学</w:t>
      </w:r>
      <w:proofErr w:type="gramEnd"/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平台力求本栏目的信息准确可靠，但对这些信息的准确性或完整性不作保证，亦不对因使用该等信息而引发或可能引发的损失承担任何责任。</w:t>
      </w:r>
    </w:p>
    <w:p w:rsid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上交所投教官网</w:t>
      </w:r>
    </w:p>
    <w:p w:rsidR="00292342" w:rsidRPr="00292342" w:rsidRDefault="00292342" w:rsidP="00292342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292342">
        <w:rPr>
          <w:rFonts w:ascii="微软雅黑" w:eastAsia="微软雅黑" w:hAnsi="微软雅黑" w:cs="宋体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A7870" w:rsidRDefault="005A7870"/>
    <w:sectPr w:rsidR="005A7870" w:rsidSect="005A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342"/>
    <w:rsid w:val="00292342"/>
    <w:rsid w:val="005A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23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9234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292342"/>
    <w:rPr>
      <w:i/>
      <w:iCs/>
    </w:rPr>
  </w:style>
  <w:style w:type="character" w:customStyle="1" w:styleId="apple-converted-space">
    <w:name w:val="apple-converted-space"/>
    <w:basedOn w:val="a0"/>
    <w:rsid w:val="00292342"/>
  </w:style>
  <w:style w:type="character" w:styleId="a4">
    <w:name w:val="Hyperlink"/>
    <w:basedOn w:val="a0"/>
    <w:uiPriority w:val="99"/>
    <w:semiHidden/>
    <w:unhideWhenUsed/>
    <w:rsid w:val="00292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2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42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9234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92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73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IzOTYyMDQ0Nw==&amp;mid=2247484227&amp;idx=2&amp;sn=a354db52331cceb7589e22b5396ef975&amp;scene=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p.weixin.qq.com/s?__biz=MzIzOTYyMDQ0Nw==&amp;mid=2247484223&amp;idx=2&amp;sn=745403411ab7b5b462e01231a92f5a86&amp;scene=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IzOTYyMDQ0Nw==&amp;mid=2247484218&amp;idx=1&amp;sn=de7008bbf9e123aaeac77c139fde7c75&amp;scene=2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mp.weixin.qq.com/s?__biz=MzIzOTYyMDQ0Nw==&amp;mid=2247484236&amp;idx=1&amp;sn=59f967779c0c3c8d9c0ec78b53facfce&amp;chksm=e9261b7cde51926ad3a2512cfbe5a24aae426a50f7af73c0f0e848e3db61aae8df536f638b6c&amp;mpshare=1&amp;scene=1&amp;srcid=1129Qb39S80JJedFTwwtIynT&amp;key=070759cbe7afbd82dfa437d3c9e20724ecec15389c2a008323d019a6def9cf432e26aa2ed3ab762f09008a752275fdc7a8776c8c475478c94569ff0a2ca595369c207ae25f937c5e2a3e8931a5147517&amp;ascene=1&amp;uin=MTkxMDYxNzk1&amp;devicetype=Windows+XP&amp;version=62050043&amp;pass_ticket=PsSzRl5AqQeoqNpxt2He4uyklJd1MRIWEVB%2FqSBhE7U%3D&amp;winzoom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2017-12-05T07:03:00Z</dcterms:created>
  <dcterms:modified xsi:type="dcterms:W3CDTF">2017-12-05T07:04:00Z</dcterms:modified>
</cp:coreProperties>
</file>