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C35" w:rsidRPr="00A76C35" w:rsidRDefault="00A76C35" w:rsidP="00A76C35">
      <w:pPr>
        <w:widowControl/>
        <w:pBdr>
          <w:bottom w:val="single" w:sz="8" w:space="9" w:color="E7E7EB"/>
        </w:pBdr>
        <w:spacing w:after="262"/>
        <w:jc w:val="left"/>
        <w:outlineLvl w:val="1"/>
        <w:rPr>
          <w:rFonts w:ascii="微软雅黑" w:eastAsia="微软雅黑" w:hAnsi="微软雅黑" w:cs="宋体"/>
          <w:color w:val="000000"/>
          <w:kern w:val="0"/>
          <w:sz w:val="45"/>
          <w:szCs w:val="45"/>
        </w:rPr>
      </w:pPr>
      <w:r w:rsidRPr="00A76C35">
        <w:rPr>
          <w:rFonts w:ascii="微软雅黑" w:eastAsia="微软雅黑" w:hAnsi="微软雅黑" w:cs="宋体" w:hint="eastAsia"/>
          <w:color w:val="000000"/>
          <w:kern w:val="0"/>
          <w:sz w:val="45"/>
          <w:szCs w:val="45"/>
        </w:rPr>
        <w:t>【债券投资者权益保护】典型案例：L公司公募债券违约及处置案例</w:t>
      </w:r>
    </w:p>
    <w:p w:rsidR="00A76C35" w:rsidRPr="00A76C35" w:rsidRDefault="00A76C35" w:rsidP="00A76C35">
      <w:pPr>
        <w:widowControl/>
        <w:spacing w:line="374" w:lineRule="atLeast"/>
        <w:jc w:val="left"/>
        <w:rPr>
          <w:rFonts w:ascii="微软雅黑" w:eastAsia="微软雅黑" w:hAnsi="微软雅黑" w:cs="宋体" w:hint="eastAsia"/>
          <w:color w:val="000000"/>
          <w:kern w:val="0"/>
          <w:sz w:val="2"/>
          <w:szCs w:val="2"/>
        </w:rPr>
      </w:pPr>
      <w:r w:rsidRPr="00A76C35">
        <w:rPr>
          <w:rFonts w:ascii="微软雅黑" w:eastAsia="微软雅黑" w:hAnsi="微软雅黑" w:cs="宋体" w:hint="eastAsia"/>
          <w:color w:val="8C8C8C"/>
          <w:kern w:val="0"/>
          <w:sz w:val="30"/>
        </w:rPr>
        <w:t>2017-12-01</w:t>
      </w:r>
      <w:r w:rsidRPr="00A76C35">
        <w:rPr>
          <w:rFonts w:ascii="微软雅黑" w:eastAsia="微软雅黑" w:hAnsi="微软雅黑" w:cs="宋体" w:hint="eastAsia"/>
          <w:color w:val="000000"/>
          <w:kern w:val="0"/>
          <w:sz w:val="2"/>
        </w:rPr>
        <w:t> </w:t>
      </w:r>
      <w:r w:rsidRPr="00A76C35">
        <w:rPr>
          <w:rFonts w:ascii="微软雅黑" w:eastAsia="微软雅黑" w:hAnsi="微软雅黑" w:cs="宋体" w:hint="eastAsia"/>
          <w:color w:val="8C8C8C"/>
          <w:kern w:val="0"/>
          <w:sz w:val="30"/>
        </w:rPr>
        <w:t>中国证监会</w:t>
      </w:r>
      <w:r w:rsidRPr="00A76C35">
        <w:rPr>
          <w:rFonts w:ascii="微软雅黑" w:eastAsia="微软雅黑" w:hAnsi="微软雅黑" w:cs="宋体" w:hint="eastAsia"/>
          <w:color w:val="000000"/>
          <w:kern w:val="0"/>
          <w:sz w:val="2"/>
        </w:rPr>
        <w:t> </w:t>
      </w:r>
      <w:hyperlink r:id="rId4" w:anchor="#" w:history="1">
        <w:r w:rsidRPr="00A76C35">
          <w:rPr>
            <w:rFonts w:ascii="微软雅黑" w:eastAsia="微软雅黑" w:hAnsi="微软雅黑" w:cs="宋体" w:hint="eastAsia"/>
            <w:vanish/>
            <w:color w:val="607FA6"/>
            <w:kern w:val="0"/>
            <w:sz w:val="30"/>
          </w:rPr>
          <w:t>中证协投资者之家</w:t>
        </w:r>
      </w:hyperlink>
    </w:p>
    <w:p w:rsidR="00A76C35" w:rsidRPr="00A76C35" w:rsidRDefault="00A76C35" w:rsidP="00A76C35">
      <w:pPr>
        <w:widowControl/>
        <w:jc w:val="left"/>
        <w:rPr>
          <w:rFonts w:ascii="微软雅黑" w:eastAsia="微软雅黑" w:hAnsi="微软雅黑" w:cs="宋体" w:hint="eastAsia"/>
          <w:color w:val="3E3E3E"/>
          <w:kern w:val="0"/>
          <w:sz w:val="30"/>
          <w:szCs w:val="30"/>
        </w:rPr>
      </w:pPr>
      <w:r w:rsidRPr="00A76C35">
        <w:rPr>
          <w:rFonts w:ascii="微软雅黑" w:eastAsia="微软雅黑" w:hAnsi="微软雅黑" w:cs="宋体" w:hint="eastAsia"/>
          <w:color w:val="3E3E3E"/>
          <w:kern w:val="0"/>
          <w:sz w:val="30"/>
          <w:szCs w:val="30"/>
        </w:rPr>
        <w:t>编者按</w:t>
      </w:r>
    </w:p>
    <w:p w:rsidR="00A76C35" w:rsidRPr="00A76C35" w:rsidRDefault="00A76C35" w:rsidP="00A76C35">
      <w:pPr>
        <w:widowControl/>
        <w:jc w:val="left"/>
        <w:rPr>
          <w:rFonts w:ascii="微软雅黑" w:eastAsia="微软雅黑" w:hAnsi="微软雅黑" w:cs="宋体" w:hint="eastAsia"/>
          <w:color w:val="3E3E3E"/>
          <w:kern w:val="0"/>
          <w:sz w:val="30"/>
          <w:szCs w:val="30"/>
        </w:rPr>
      </w:pPr>
      <w:r w:rsidRPr="00A76C35">
        <w:rPr>
          <w:rFonts w:ascii="微软雅黑" w:eastAsia="微软雅黑" w:hAnsi="微软雅黑" w:cs="宋体" w:hint="eastAsia"/>
          <w:color w:val="3E3E3E"/>
          <w:kern w:val="0"/>
          <w:sz w:val="30"/>
          <w:szCs w:val="30"/>
        </w:rPr>
        <w:t>        近日，中国证监会组织开展以“防控债券风险,做理性投资人”为主题的债券投资者权益保护教育专项活动，此次宣传活动将广泛开展债券知识普及和风险提示工作，使投资者了解债券投资风险，提高风险防范意识，明晰权利义务以及权益受到侵害时的依法维权途径；大力宣传债券法规以及自律规则，使市场各方明确债券市场监管自律要求，增强依法履行权利和义务的自觉性。即日起，“中证协投资者之家”互联网</w:t>
      </w:r>
      <w:proofErr w:type="gramStart"/>
      <w:r w:rsidRPr="00A76C35">
        <w:rPr>
          <w:rFonts w:ascii="微软雅黑" w:eastAsia="微软雅黑" w:hAnsi="微软雅黑" w:cs="宋体" w:hint="eastAsia"/>
          <w:color w:val="3E3E3E"/>
          <w:kern w:val="0"/>
          <w:sz w:val="30"/>
          <w:szCs w:val="30"/>
        </w:rPr>
        <w:t>投教基地</w:t>
      </w:r>
      <w:proofErr w:type="gramEnd"/>
      <w:r w:rsidRPr="00A76C35">
        <w:rPr>
          <w:rFonts w:ascii="微软雅黑" w:eastAsia="微软雅黑" w:hAnsi="微软雅黑" w:cs="宋体" w:hint="eastAsia"/>
          <w:color w:val="3E3E3E"/>
          <w:kern w:val="0"/>
          <w:sz w:val="30"/>
          <w:szCs w:val="30"/>
        </w:rPr>
        <w:t>将对活动中发布的典型案例、投资者问答、风险提示词条等持续进行更新，敬请您的关注。</w:t>
      </w:r>
    </w:p>
    <w:p w:rsidR="00A76C35" w:rsidRPr="00A76C35" w:rsidRDefault="00A76C35" w:rsidP="00A76C35">
      <w:pPr>
        <w:widowControl/>
        <w:jc w:val="left"/>
        <w:rPr>
          <w:rFonts w:ascii="微软雅黑" w:eastAsia="微软雅黑" w:hAnsi="微软雅黑" w:cs="宋体" w:hint="eastAsia"/>
          <w:color w:val="3E3E3E"/>
          <w:kern w:val="0"/>
          <w:sz w:val="30"/>
          <w:szCs w:val="30"/>
        </w:rPr>
      </w:pPr>
      <w:r w:rsidRPr="00A76C35">
        <w:rPr>
          <w:rFonts w:ascii="微软雅黑" w:eastAsia="微软雅黑" w:hAnsi="微软雅黑" w:cs="宋体" w:hint="eastAsia"/>
          <w:color w:val="3E3E3E"/>
          <w:kern w:val="0"/>
          <w:sz w:val="30"/>
          <w:szCs w:val="30"/>
        </w:rPr>
        <w:t>中国证券业协会</w:t>
      </w:r>
    </w:p>
    <w:p w:rsidR="00A76C35" w:rsidRPr="00A76C35" w:rsidRDefault="00A76C35" w:rsidP="00A76C35">
      <w:pPr>
        <w:widowControl/>
        <w:jc w:val="left"/>
        <w:rPr>
          <w:rFonts w:ascii="微软雅黑" w:eastAsia="微软雅黑" w:hAnsi="微软雅黑" w:cs="宋体" w:hint="eastAsia"/>
          <w:color w:val="3E3E3E"/>
          <w:kern w:val="0"/>
          <w:sz w:val="30"/>
          <w:szCs w:val="30"/>
        </w:rPr>
      </w:pPr>
      <w:r w:rsidRPr="00A76C35">
        <w:rPr>
          <w:rFonts w:ascii="微软雅黑" w:eastAsia="微软雅黑" w:hAnsi="微软雅黑" w:cs="宋体"/>
          <w:color w:val="3E3E3E"/>
          <w:kern w:val="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p>
    <w:p w:rsidR="00A76C35" w:rsidRPr="00A76C35" w:rsidRDefault="00A76C35" w:rsidP="00A76C35">
      <w:pPr>
        <w:widowControl/>
        <w:jc w:val="left"/>
        <w:rPr>
          <w:rFonts w:ascii="微软雅黑" w:eastAsia="微软雅黑" w:hAnsi="微软雅黑" w:cs="宋体" w:hint="eastAsia"/>
          <w:color w:val="3E3E3E"/>
          <w:kern w:val="0"/>
          <w:sz w:val="30"/>
          <w:szCs w:val="30"/>
        </w:rPr>
      </w:pPr>
      <w:r w:rsidRPr="00A76C35">
        <w:rPr>
          <w:rFonts w:ascii="微软雅黑" w:eastAsia="微软雅黑" w:hAnsi="微软雅黑" w:cs="宋体" w:hint="eastAsia"/>
          <w:b/>
          <w:bCs/>
          <w:color w:val="3E3E3E"/>
          <w:kern w:val="0"/>
          <w:sz w:val="30"/>
        </w:rPr>
        <w:t>风险事件回顾: </w:t>
      </w:r>
    </w:p>
    <w:p w:rsidR="00A76C35" w:rsidRPr="00A76C35" w:rsidRDefault="00A76C35" w:rsidP="00A76C35">
      <w:pPr>
        <w:widowControl/>
        <w:jc w:val="left"/>
        <w:rPr>
          <w:rFonts w:ascii="微软雅黑" w:eastAsia="微软雅黑" w:hAnsi="微软雅黑" w:cs="宋体" w:hint="eastAsia"/>
          <w:color w:val="3E3E3E"/>
          <w:kern w:val="0"/>
          <w:sz w:val="30"/>
          <w:szCs w:val="30"/>
        </w:rPr>
      </w:pPr>
      <w:r w:rsidRPr="00A76C35">
        <w:rPr>
          <w:rFonts w:ascii="微软雅黑" w:eastAsia="微软雅黑" w:hAnsi="微软雅黑" w:cs="宋体" w:hint="eastAsia"/>
          <w:color w:val="3E3E3E"/>
          <w:kern w:val="0"/>
          <w:sz w:val="30"/>
          <w:szCs w:val="30"/>
        </w:rPr>
        <w:t>      主营业务持续亏损,通过向控股股东借款筹集回售资金 </w:t>
      </w:r>
    </w:p>
    <w:p w:rsidR="00A76C35" w:rsidRPr="00A76C35" w:rsidRDefault="00A76C35" w:rsidP="00A76C35">
      <w:pPr>
        <w:widowControl/>
        <w:jc w:val="left"/>
        <w:rPr>
          <w:rFonts w:ascii="微软雅黑" w:eastAsia="微软雅黑" w:hAnsi="微软雅黑" w:cs="宋体" w:hint="eastAsia"/>
          <w:color w:val="3E3E3E"/>
          <w:kern w:val="0"/>
          <w:sz w:val="30"/>
          <w:szCs w:val="30"/>
        </w:rPr>
      </w:pPr>
      <w:r w:rsidRPr="00A76C35">
        <w:rPr>
          <w:rFonts w:ascii="微软雅黑" w:eastAsia="微软雅黑" w:hAnsi="微软雅黑" w:cs="宋体" w:hint="eastAsia"/>
          <w:color w:val="3E3E3E"/>
          <w:kern w:val="0"/>
          <w:sz w:val="30"/>
          <w:szCs w:val="30"/>
        </w:rPr>
        <w:t xml:space="preserve">　　L公司于2012年3月X日发行“11L债”,发行规模5.1亿元,债券期限为7年(附第5年末投资者回售选择权),由控股股东X公司提供不可撤销连带责任担保,由G证券股份有限公司承销并</w:t>
      </w:r>
      <w:r w:rsidRPr="00A76C35">
        <w:rPr>
          <w:rFonts w:ascii="微软雅黑" w:eastAsia="微软雅黑" w:hAnsi="微软雅黑" w:cs="宋体" w:hint="eastAsia"/>
          <w:color w:val="3E3E3E"/>
          <w:kern w:val="0"/>
          <w:sz w:val="30"/>
          <w:szCs w:val="30"/>
        </w:rPr>
        <w:lastRenderedPageBreak/>
        <w:t>担任受托管理人。发行时S资信评估投资服务有限公司给予主体长期信用等级及本期债券信用等级均为AA。2012年4月X日,“11L债”在交易所上市交易。 </w:t>
      </w:r>
    </w:p>
    <w:p w:rsidR="00A76C35" w:rsidRPr="00A76C35" w:rsidRDefault="00A76C35" w:rsidP="00A76C35">
      <w:pPr>
        <w:widowControl/>
        <w:jc w:val="left"/>
        <w:rPr>
          <w:rFonts w:ascii="微软雅黑" w:eastAsia="微软雅黑" w:hAnsi="微软雅黑" w:cs="宋体" w:hint="eastAsia"/>
          <w:color w:val="3E3E3E"/>
          <w:kern w:val="0"/>
          <w:sz w:val="30"/>
          <w:szCs w:val="30"/>
        </w:rPr>
      </w:pPr>
      <w:r w:rsidRPr="00A76C35">
        <w:rPr>
          <w:rFonts w:ascii="微软雅黑" w:eastAsia="微软雅黑" w:hAnsi="微软雅黑" w:cs="宋体" w:hint="eastAsia"/>
          <w:color w:val="3E3E3E"/>
          <w:kern w:val="0"/>
          <w:sz w:val="30"/>
          <w:szCs w:val="30"/>
        </w:rPr>
        <w:t xml:space="preserve">　　L公司是一家从事化学燃料及化学制品制造的上市公司。由于L公司主要产品价格下跌、盈利状况恶化,P资信评估公司于2013年6月将“11L债”主体及债项评级均下调为AA-,并于2015年6月进一步下调为A+。2015年L公司经营进一步下滑,业绩出现亏损,P资信评估公司于2016年6月下调“11L债”主体及债项评级为BBB。 </w:t>
      </w:r>
    </w:p>
    <w:p w:rsidR="00A76C35" w:rsidRPr="00A76C35" w:rsidRDefault="00A76C35" w:rsidP="00A76C35">
      <w:pPr>
        <w:widowControl/>
        <w:jc w:val="left"/>
        <w:rPr>
          <w:rFonts w:ascii="微软雅黑" w:eastAsia="微软雅黑" w:hAnsi="微软雅黑" w:cs="宋体" w:hint="eastAsia"/>
          <w:color w:val="3E3E3E"/>
          <w:kern w:val="0"/>
          <w:sz w:val="30"/>
          <w:szCs w:val="30"/>
        </w:rPr>
      </w:pPr>
      <w:r w:rsidRPr="00A76C35">
        <w:rPr>
          <w:rFonts w:ascii="微软雅黑" w:eastAsia="微软雅黑" w:hAnsi="微软雅黑" w:cs="宋体" w:hint="eastAsia"/>
          <w:color w:val="3E3E3E"/>
          <w:kern w:val="0"/>
          <w:sz w:val="30"/>
          <w:szCs w:val="30"/>
        </w:rPr>
        <w:t>      2016年7月及10月,G证券召开两次债券持有人会议,主要审议《关于要求L公司为“11L债”增加担保的议案》、《关于授权受托管理人与实际控制人及政府部分沟通协调“11L债”担保及后续偿付方案的议案》及《关于增加债券持有人会议网络投票方式的议案》,但两次会议均由于表决同意票数不足未能形成有效决议。 </w:t>
      </w:r>
    </w:p>
    <w:p w:rsidR="00A76C35" w:rsidRPr="00A76C35" w:rsidRDefault="00A76C35" w:rsidP="00A76C35">
      <w:pPr>
        <w:widowControl/>
        <w:jc w:val="left"/>
        <w:rPr>
          <w:rFonts w:ascii="微软雅黑" w:eastAsia="微软雅黑" w:hAnsi="微软雅黑" w:cs="宋体" w:hint="eastAsia"/>
          <w:color w:val="3E3E3E"/>
          <w:kern w:val="0"/>
          <w:sz w:val="30"/>
          <w:szCs w:val="30"/>
        </w:rPr>
      </w:pPr>
      <w:r w:rsidRPr="00A76C35">
        <w:rPr>
          <w:rFonts w:ascii="微软雅黑" w:eastAsia="微软雅黑" w:hAnsi="微软雅黑" w:cs="宋体" w:hint="eastAsia"/>
          <w:color w:val="3E3E3E"/>
          <w:kern w:val="0"/>
          <w:sz w:val="30"/>
          <w:szCs w:val="30"/>
        </w:rPr>
        <w:t xml:space="preserve">　　2017年1月,P资信评估公司进一步将“11L债”项及主体评级下调为B。2月X日,L公司针对“11L债”可能暂停上市及回售存在不确定性发布风险提示公告。3月X日,G证券再次召开债券持有人会议,审议前次的三项议案以及《关于要求L公司为“11L债”偿付处置部分资产的议案》,但同样由于表决同意票数不足未能形成有效决议。 </w:t>
      </w:r>
    </w:p>
    <w:p w:rsidR="00A76C35" w:rsidRPr="00A76C35" w:rsidRDefault="00A76C35" w:rsidP="00A76C35">
      <w:pPr>
        <w:widowControl/>
        <w:jc w:val="left"/>
        <w:rPr>
          <w:rFonts w:ascii="微软雅黑" w:eastAsia="微软雅黑" w:hAnsi="微软雅黑" w:cs="宋体" w:hint="eastAsia"/>
          <w:color w:val="3E3E3E"/>
          <w:kern w:val="0"/>
          <w:sz w:val="30"/>
          <w:szCs w:val="30"/>
        </w:rPr>
      </w:pPr>
      <w:r w:rsidRPr="00A76C35">
        <w:rPr>
          <w:rFonts w:ascii="微软雅黑" w:eastAsia="微软雅黑" w:hAnsi="微软雅黑" w:cs="宋体" w:hint="eastAsia"/>
          <w:color w:val="3E3E3E"/>
          <w:kern w:val="0"/>
          <w:sz w:val="30"/>
          <w:szCs w:val="30"/>
        </w:rPr>
        <w:lastRenderedPageBreak/>
        <w:t xml:space="preserve">　　2017年3月X日,“11L债”开始实施回售,此次回售申报金额为5.04亿元。3月X日,L公司发布公告称已向控股股东借款3.8亿元,用以偿付回售资金。3月X日,“11L债”完成本次回售本金及利息兑付。 </w:t>
      </w:r>
    </w:p>
    <w:p w:rsidR="00A76C35" w:rsidRPr="00A76C35" w:rsidRDefault="00A76C35" w:rsidP="00A76C35">
      <w:pPr>
        <w:widowControl/>
        <w:jc w:val="left"/>
        <w:rPr>
          <w:rFonts w:ascii="微软雅黑" w:eastAsia="微软雅黑" w:hAnsi="微软雅黑" w:cs="宋体" w:hint="eastAsia"/>
          <w:color w:val="FFFFFF"/>
          <w:kern w:val="0"/>
          <w:sz w:val="26"/>
          <w:szCs w:val="26"/>
          <w:shd w:val="clear" w:color="auto" w:fill="5F9CEF"/>
        </w:rPr>
      </w:pPr>
      <w:r w:rsidRPr="00A76C35">
        <w:rPr>
          <w:rFonts w:ascii="微软雅黑" w:eastAsia="微软雅黑" w:hAnsi="微软雅黑" w:cs="宋体" w:hint="eastAsia"/>
          <w:color w:val="FFFFFF"/>
          <w:kern w:val="0"/>
          <w:sz w:val="30"/>
          <w:szCs w:val="30"/>
          <w:shd w:val="clear" w:color="auto" w:fill="5F9CEF"/>
        </w:rPr>
        <w:t>积极参与债券持有人会议,依法维护自身权益 </w:t>
      </w:r>
    </w:p>
    <w:p w:rsidR="00A76C35" w:rsidRPr="00A76C35" w:rsidRDefault="00A76C35" w:rsidP="00A76C35">
      <w:pPr>
        <w:widowControl/>
        <w:jc w:val="left"/>
        <w:rPr>
          <w:rFonts w:ascii="微软雅黑" w:eastAsia="微软雅黑" w:hAnsi="微软雅黑" w:cs="宋体" w:hint="eastAsia"/>
          <w:color w:val="3E3E3E"/>
          <w:kern w:val="0"/>
          <w:sz w:val="30"/>
          <w:szCs w:val="30"/>
        </w:rPr>
      </w:pPr>
      <w:r w:rsidRPr="00A76C35">
        <w:rPr>
          <w:rFonts w:ascii="微软雅黑" w:eastAsia="微软雅黑" w:hAnsi="微软雅黑" w:cs="宋体" w:hint="eastAsia"/>
          <w:color w:val="3E3E3E"/>
          <w:kern w:val="0"/>
          <w:sz w:val="30"/>
          <w:szCs w:val="30"/>
        </w:rPr>
        <w:t>      债券具有证券投资属性,对于债券市场投资者来说,债券持有人会议是表达诉求、维护自身权益最直接的渠道,而债券受托管理人(或债权代理人)一般承担主要的债券风险处置职责。目前根据《公司债券发行与管理办法》发行的公司债券在发行时均会公告受托管理协议和债券持有人会议规则,投资者在投资前应当认真阅读相关文件,投资债券即视为同意相关约定。 </w:t>
      </w:r>
    </w:p>
    <w:p w:rsidR="00A76C35" w:rsidRPr="00A76C35" w:rsidRDefault="00A76C35" w:rsidP="00A76C35">
      <w:pPr>
        <w:widowControl/>
        <w:jc w:val="left"/>
        <w:rPr>
          <w:rFonts w:ascii="微软雅黑" w:eastAsia="微软雅黑" w:hAnsi="微软雅黑" w:cs="宋体" w:hint="eastAsia"/>
          <w:color w:val="3E3E3E"/>
          <w:kern w:val="0"/>
          <w:sz w:val="30"/>
          <w:szCs w:val="30"/>
        </w:rPr>
      </w:pPr>
      <w:r w:rsidRPr="00A76C35">
        <w:rPr>
          <w:rFonts w:ascii="微软雅黑" w:eastAsia="微软雅黑" w:hAnsi="微软雅黑" w:cs="宋体" w:hint="eastAsia"/>
          <w:color w:val="3E3E3E"/>
          <w:kern w:val="0"/>
          <w:sz w:val="30"/>
          <w:szCs w:val="30"/>
        </w:rPr>
        <w:t xml:space="preserve">　　一旦债券发生了风险事件,投资者可以遵循法律法规的要求以及债券募集说明书、受托管理协议、债券持有人会议规则的相关约定,依法维护自身权益。债券的融资主体是发行人,通过债券持有人会议要求发行人切实履行承诺并承担违约责任是投资者最直接的维权方式。因此,投资者有必要密切关注持有人会议相关安排,积极参与投票,从而维护自身合法权益。投资者也可积极向受托管理人反映诉求,要求受托管理人切实履行受托管理义务,承担谈判、督促等责任。必要时,投资者也可以通过司法途径维护自身权益,自行或委托受托管理人提起民事诉讼、仲裁、债务重组或破产等法律程序。 </w:t>
      </w:r>
    </w:p>
    <w:p w:rsidR="00A76C35" w:rsidRDefault="00A76C35" w:rsidP="00A76C35">
      <w:pPr>
        <w:widowControl/>
        <w:ind w:firstLine="585"/>
        <w:jc w:val="left"/>
        <w:rPr>
          <w:rFonts w:ascii="微软雅黑" w:eastAsia="微软雅黑" w:hAnsi="微软雅黑" w:cs="宋体" w:hint="eastAsia"/>
          <w:color w:val="3E3E3E"/>
          <w:kern w:val="0"/>
          <w:sz w:val="30"/>
          <w:szCs w:val="30"/>
        </w:rPr>
      </w:pPr>
      <w:r w:rsidRPr="00A76C35">
        <w:rPr>
          <w:rFonts w:ascii="微软雅黑" w:eastAsia="微软雅黑" w:hAnsi="微软雅黑" w:cs="宋体" w:hint="eastAsia"/>
          <w:color w:val="3E3E3E"/>
          <w:kern w:val="0"/>
          <w:sz w:val="30"/>
          <w:szCs w:val="30"/>
        </w:rPr>
        <w:lastRenderedPageBreak/>
        <w:t>在“11L债”的案例中,受托管理人G证券召开了三次债券持有人会议,但均由于投票人数不足均未能达成有效决议,一定程度上阻碍了债券的风险化解进程。随着我国债券市场的不断发展成熟,有序打破“刚性兑付”将会是大势所趋,在此背景下,投资者有必要对相关的风险处置机制进行了解并在发生风险事件时积极参与,才能切实维护自身合法权益。 </w:t>
      </w:r>
    </w:p>
    <w:p w:rsidR="00A76C35" w:rsidRPr="00A76C35" w:rsidRDefault="00A76C35" w:rsidP="00A76C35">
      <w:pPr>
        <w:widowControl/>
        <w:ind w:firstLine="585"/>
        <w:jc w:val="left"/>
        <w:rPr>
          <w:rFonts w:ascii="微软雅黑" w:eastAsia="微软雅黑" w:hAnsi="微软雅黑" w:cs="宋体" w:hint="eastAsia"/>
          <w:color w:val="3E3E3E"/>
          <w:kern w:val="0"/>
          <w:sz w:val="30"/>
          <w:szCs w:val="30"/>
        </w:rPr>
      </w:pPr>
      <w:proofErr w:type="gramStart"/>
      <w:r w:rsidRPr="00A76C35">
        <w:rPr>
          <w:rFonts w:ascii="微软雅黑" w:eastAsia="微软雅黑" w:hAnsi="微软雅黑" w:cs="宋体" w:hint="eastAsia"/>
          <w:color w:val="3E3E3E"/>
          <w:kern w:val="0"/>
          <w:sz w:val="30"/>
          <w:szCs w:val="30"/>
        </w:rPr>
        <w:t>中证协投资者</w:t>
      </w:r>
      <w:proofErr w:type="gramEnd"/>
      <w:r w:rsidRPr="00A76C35">
        <w:rPr>
          <w:rFonts w:ascii="微软雅黑" w:eastAsia="微软雅黑" w:hAnsi="微软雅黑" w:cs="宋体" w:hint="eastAsia"/>
          <w:color w:val="3E3E3E"/>
          <w:kern w:val="0"/>
          <w:sz w:val="30"/>
          <w:szCs w:val="30"/>
        </w:rPr>
        <w:t>之家</w:t>
      </w:r>
    </w:p>
    <w:p w:rsidR="00CC0267" w:rsidRPr="00A76C35" w:rsidRDefault="00A76C35" w:rsidP="00A76C35">
      <w:pPr>
        <w:widowControl/>
        <w:jc w:val="left"/>
        <w:rPr>
          <w:rFonts w:ascii="微软雅黑" w:eastAsia="微软雅黑" w:hAnsi="微软雅黑" w:cs="宋体" w:hint="eastAsia"/>
          <w:color w:val="3E3E3E"/>
          <w:kern w:val="0"/>
          <w:sz w:val="30"/>
          <w:szCs w:val="30"/>
        </w:rPr>
      </w:pPr>
      <w:r w:rsidRPr="00A76C35">
        <w:rPr>
          <w:rFonts w:ascii="微软雅黑" w:eastAsia="微软雅黑" w:hAnsi="微软雅黑" w:cs="宋体"/>
          <w:color w:val="3E3E3E"/>
          <w:kern w:val="0"/>
          <w:sz w:val="30"/>
          <w:szCs w:val="30"/>
        </w:rPr>
        <w:pict>
          <v:shape id="_x0000_i1026" type="#_x0000_t75" alt="" style="width:24.3pt;height:24.3pt"/>
        </w:pict>
      </w:r>
    </w:p>
    <w:sectPr w:rsidR="00CC0267" w:rsidRPr="00A76C35" w:rsidSect="00CC02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6C35"/>
    <w:rsid w:val="00A76C35"/>
    <w:rsid w:val="00CC02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67"/>
    <w:pPr>
      <w:widowControl w:val="0"/>
      <w:jc w:val="both"/>
    </w:pPr>
  </w:style>
  <w:style w:type="paragraph" w:styleId="2">
    <w:name w:val="heading 2"/>
    <w:basedOn w:val="a"/>
    <w:link w:val="2Char"/>
    <w:uiPriority w:val="9"/>
    <w:qFormat/>
    <w:rsid w:val="00A76C3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76C35"/>
    <w:rPr>
      <w:rFonts w:ascii="宋体" w:eastAsia="宋体" w:hAnsi="宋体" w:cs="宋体"/>
      <w:b/>
      <w:bCs/>
      <w:kern w:val="0"/>
      <w:sz w:val="36"/>
      <w:szCs w:val="36"/>
    </w:rPr>
  </w:style>
  <w:style w:type="character" w:styleId="a3">
    <w:name w:val="Emphasis"/>
    <w:basedOn w:val="a0"/>
    <w:uiPriority w:val="20"/>
    <w:qFormat/>
    <w:rsid w:val="00A76C35"/>
    <w:rPr>
      <w:i/>
      <w:iCs/>
    </w:rPr>
  </w:style>
  <w:style w:type="character" w:customStyle="1" w:styleId="apple-converted-space">
    <w:name w:val="apple-converted-space"/>
    <w:basedOn w:val="a0"/>
    <w:rsid w:val="00A76C35"/>
  </w:style>
  <w:style w:type="character" w:styleId="a4">
    <w:name w:val="Hyperlink"/>
    <w:basedOn w:val="a0"/>
    <w:uiPriority w:val="99"/>
    <w:semiHidden/>
    <w:unhideWhenUsed/>
    <w:rsid w:val="00A76C35"/>
    <w:rPr>
      <w:color w:val="0000FF"/>
      <w:u w:val="single"/>
    </w:rPr>
  </w:style>
  <w:style w:type="paragraph" w:styleId="a5">
    <w:name w:val="Normal (Web)"/>
    <w:basedOn w:val="a"/>
    <w:uiPriority w:val="99"/>
    <w:semiHidden/>
    <w:unhideWhenUsed/>
    <w:rsid w:val="00A76C3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76C35"/>
    <w:rPr>
      <w:b/>
      <w:bCs/>
    </w:rPr>
  </w:style>
</w:styles>
</file>

<file path=word/webSettings.xml><?xml version="1.0" encoding="utf-8"?>
<w:webSettings xmlns:r="http://schemas.openxmlformats.org/officeDocument/2006/relationships" xmlns:w="http://schemas.openxmlformats.org/wordprocessingml/2006/main">
  <w:divs>
    <w:div w:id="1024020459">
      <w:bodyDiv w:val="1"/>
      <w:marLeft w:val="0"/>
      <w:marRight w:val="0"/>
      <w:marTop w:val="0"/>
      <w:marBottom w:val="0"/>
      <w:divBdr>
        <w:top w:val="none" w:sz="0" w:space="0" w:color="auto"/>
        <w:left w:val="none" w:sz="0" w:space="0" w:color="auto"/>
        <w:bottom w:val="none" w:sz="0" w:space="0" w:color="auto"/>
        <w:right w:val="none" w:sz="0" w:space="0" w:color="auto"/>
      </w:divBdr>
      <w:divsChild>
        <w:div w:id="665402851">
          <w:marLeft w:val="0"/>
          <w:marRight w:val="0"/>
          <w:marTop w:val="0"/>
          <w:marBottom w:val="0"/>
          <w:divBdr>
            <w:top w:val="none" w:sz="0" w:space="0" w:color="auto"/>
            <w:left w:val="none" w:sz="0" w:space="0" w:color="auto"/>
            <w:bottom w:val="none" w:sz="0" w:space="0" w:color="auto"/>
            <w:right w:val="none" w:sz="0" w:space="0" w:color="auto"/>
          </w:divBdr>
          <w:divsChild>
            <w:div w:id="1267884387">
              <w:marLeft w:val="0"/>
              <w:marRight w:val="0"/>
              <w:marTop w:val="0"/>
              <w:marBottom w:val="337"/>
              <w:divBdr>
                <w:top w:val="none" w:sz="0" w:space="0" w:color="auto"/>
                <w:left w:val="none" w:sz="0" w:space="0" w:color="auto"/>
                <w:bottom w:val="none" w:sz="0" w:space="0" w:color="auto"/>
                <w:right w:val="none" w:sz="0" w:space="0" w:color="auto"/>
              </w:divBdr>
            </w:div>
            <w:div w:id="12106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p.weixin.qq.com/s/1rcUchJmFgVKyncDheuKM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dqjsj</dc:creator>
  <cp:keywords/>
  <dc:description/>
  <cp:lastModifiedBy>dqjsj</cp:lastModifiedBy>
  <cp:revision>1</cp:revision>
  <dcterms:created xsi:type="dcterms:W3CDTF">2017-12-05T07:01:00Z</dcterms:created>
  <dcterms:modified xsi:type="dcterms:W3CDTF">2017-12-05T07:02:00Z</dcterms:modified>
</cp:coreProperties>
</file>