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微软雅黑" w:hAnsi="微软雅黑" w:eastAsia="微软雅黑" w:cs="微软雅黑"/>
          <w:b w:val="0"/>
          <w:color w:val="333333"/>
          <w:sz w:val="48"/>
          <w:szCs w:val="48"/>
        </w:rPr>
      </w:pPr>
      <w:r>
        <w:rPr>
          <w:rFonts w:hint="eastAsia" w:ascii="微软雅黑" w:hAnsi="微软雅黑" w:eastAsia="微软雅黑" w:cs="微软雅黑"/>
          <w:b w:val="0"/>
          <w:color w:val="333333"/>
          <w:sz w:val="48"/>
          <w:szCs w:val="48"/>
          <w:bdr w:val="none" w:color="auto" w:sz="0" w:space="0"/>
        </w:rPr>
        <w:t>国务院办公厅关于完善反洗钱、反恐怖融资、反逃税监管体制机制的意见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A9A9A9"/>
          <w:sz w:val="21"/>
          <w:szCs w:val="21"/>
        </w:rPr>
      </w:pPr>
    </w:p>
    <w:p>
      <w:pPr>
        <w:keepNext w:val="0"/>
        <w:keepLines w:val="0"/>
        <w:widowControl/>
        <w:suppressLineNumbers w:val="0"/>
        <w:pBdr>
          <w:top w:val="none" w:color="auto" w:sz="0" w:space="0"/>
          <w:left w:val="none" w:color="auto" w:sz="0" w:space="0"/>
          <w:bottom w:val="dashed" w:color="EFEFEF" w:sz="6" w:space="7"/>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b/>
          <w:color w:val="333333"/>
          <w:kern w:val="0"/>
          <w:sz w:val="24"/>
          <w:szCs w:val="24"/>
          <w:bdr w:val="none" w:color="auto" w:sz="0" w:space="0"/>
          <w:lang w:val="en-US" w:eastAsia="zh-CN" w:bidi="ar"/>
        </w:rPr>
        <w:t>国办函〔2017〕84号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反洗钱工作部际联席会议各成员单位：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反洗钱、反恐怖融资、反逃税（以下统称“三反”）监管体制机制是建设中国特色社会主义法治体系和现代金融监管体系的重要内容，是推进国家治理体系和治理能力现代化、维护经济社会安全稳定的重要保障，是参与全球治理、扩大金融业双向开放的重要手段。反洗钱法公布实施以来，我国“三反”监管体制机制建设取得重大进展，工作成效明显，与国际通行标准基本保持一致。同时也要看到，相关领域仍然存在一些突出矛盾和问题，主要是监管制度尚不健全、协调合作机制仍不顺畅、跨部门数据信息共享程度不高、履行反洗钱义务的机构（以下简称反洗钱义务机构）履职能力不足、国际参与度和话语权与我国国际地位不相称等。为深入持久推进“三反”监管体制机制建设，完善“三反”监管措施，经国务院同意，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全面贯彻党的十八大和十八届三中、四中、五中、六中全会精神，以邓小平理论、“三个代表”重要思想、科学发展观为指导，深入贯彻习近平总书记系列重要讲话精神和治国理政新理念新思想新战略，认真落实党中央、国务院决策部署，坚持总体国家安全观，遵循推进国家治理体系和治理能力现代化的要求，完善“三反”监管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坚持问题导向，发挥工作合力。进一步解放思想，从基本国情和实际工作需要出发，深入研究、有效解决“三反”监管体制机制存在的问题。反洗钱行政主管部门、税务机关、公安机关要切实履职，国务院银行业、证券、保险监督管理机构及其他相关单位要发挥工作积极性，形成“三反”合力。探索建立以金融情报为纽带、以资金监测为手段、以数据信息共享为基础、符合国家治理需要的“三反”监管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坚持防控为本，有效化解风险。开展全面科学的风险评估，根据风险水平和分布进一步优化监管资源配置，强化高风险领域监管。同时，不断优化风险评估机制和监测分析系统，健全风险预防体系，有效防控洗钱、恐怖融资和逃税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坚持立足国情，为双向开放提供服务保障。根据国内洗钱、恐怖融资和逃税风险实际情况，逐步建立健全“三反”法律制度和监管规则。根据有关国际条约或者按照平等互利原则开展国际合作。忠实履行我国应当承担的国际义务，严格执行国际标准，加强跨境监管合作，切实维护我国金融机构合法权益，为金融业双向开放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坚持依法行政，充分发挥反洗钱义务机构主体作用。依法确定相关单位职责，确保各司其职，主动作为，严控风险。重视和发挥反洗钱义务机构在预防洗钱、恐怖融资和逃税方面的“第一道防线”作用。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（三）目标要求。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到2020年，初步形成适应社会主义市场经济要求、适合中国国情、符合国际标准的“三反”法律法规体系，建立职责清晰、权责对等、配合有力的“三反”监管协调合作机制，有效防控洗钱、恐怖融资和逃税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二、健全工作机制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四）加强统筹协调，完善组织机制。进一步完善反洗钱工作部际联席会议制度，统筹“三反”监管工作。以反洗钱工作部际联席会议为依托，强化部门间“三反”工作组织协调机制，制定整体战略、重要政策和措施，推动贯彻落实，指导“三反”领域国际合作，加强监管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五）研究设计洗钱和恐怖融资风险评估体系，建立反洗钱和反恐怖融资战略形成机制。积极发挥风险评估在发现问题、完善体制机制、配置资源方面的基础性作用，开展风险导向的反洗钱和反恐怖融资战略研究。建立国家层面的洗钱和恐怖融资风险评估指标体系和评估机制，成立由反洗钱行政主管部门、税务机关、公安机关、国家安全机关、司法机关以及国务院银行业、证券、保险监督管理机构和其他行政机关组成的洗钱和恐怖融资风险评估工作组，定期开展洗钱和恐怖融资风险评估工作。以风险评估发现的问题为导向，制定并定期更新反洗钱和反恐怖融资战略，确定反洗钱和反恐怖融资工作的阶段性目标、主要任务和重大举措，明确任务分工，加大高风险领域反洗钱监管力度。建立多层次评估结果运用机制，由相关单位和反洗钱义务机构根据评估结果有针对性地完善反洗钱和反恐怖融资工作，提升资源配置效率，提高风险防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六）强化线索移送和案件协查，优化打击犯罪合作机制。加强反洗钱行政主管部门、税务机关与监察机关、侦查机关、行政执法机关间的沟通协调，进一步完善可疑交易线索合作机制，加强情报会商和信息反馈机制，分析洗钱、恐怖融资和逃税的形势与趋势，不断优化反洗钱调查的策略、方法和技术。反洗钱行政主管部门要加强可疑交易线索移送和案件协查工作，相关单位要加强对线索使用查处情况的及时反馈，形成打击洗钱、恐怖融资和逃税的合力，维护金融秩序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七）加强监管协调，健全监管合作机制。在行业监管规则中嵌入反洗钱监管要求，构建涵盖事前、事中、事后的完整监管链条。充分发挥反洗钱工作部际联席会议作用，加强反洗钱行政主管部门和金融监管部门之间的协调，完善监管制度、政策和措施，开展联合监管行动，共享监管信息，协调跨境监管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八）依法使用政务数据，健全数据信息共享机制。以依法合规为前提、资源整合为目标，探索研究“三反”数据信息共享标准和统计指标体系，明确相关单位的数据提供责任和数据使用权限。稳步推进数据信息共享机制建设，既要严格依法行政，保护商业秘密和个人隐私，又要推进相关数据库建设，鼓励各方参与共享。建立相关单位间的电子化网络，为实现安全、高效的数据信息共享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九）优化监管资源配置，研究完善监管资源保障机制。按照金融领域全覆盖、特定非金融行业高风险领域重点监管的目标，适时扩大反洗钱、反恐怖融资监管范围。优化监管资源配置与使用，统筹考虑“三反”监管资源保障问题，为“三反”监管提供充足人力物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三、完善法律制度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推动研究完善相关刑事立法，修改惩治洗钱犯罪和恐怖融资犯罪相关规定。按照我国参加的国际公约和明确承诺执行的国际标准要求，研究扩大洗钱罪的上游犯罪范围，将上游犯罪本犯纳入洗钱罪的主体范围。对照国际公约要求，根据我国反恐实际需要，推动逐步完善有关恐怖融资犯罪的刑事立法，加强司法解释工作。研究建立相关司法工作激励机制，提升反洗钱工作追偿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一）明确执行联合国安理会反恐怖融资相关决议的程序。建立定向金融制裁名单的认定发布制度，明确相关单位在名单提交、审议、发布、监督执行、除名等方面的职责分工。完善和细化各行政主管部门、金融监管部门和反洗钱义务机构执行联合国安理会反恐怖融资决议要求的程序规定和监管措施，进一步明确资产冻结时效、范围、程序、善意第三人保护及相关法律责任，保证联合国安理会相关决议执行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二）加强特定非金融机构风险监测，探索建立特定非金融机构反洗钱和反恐怖融资监管制度。加强反洗钱行政主管部门、税务机关与特定非金融行业主管部门间的协调配合，密切关注非金融领域的洗钱、恐怖融资和逃税风险变化情况，对高风险行业开展风险评估，研究分析行业洗钱、恐怖融资和逃税风险分布及发展趋势，提出“三反”监管政策建议。对于反洗钱国际标准明确提出要求的房地产中介、贵金属和珠宝玉石销售、公司服务等行业及其他存在较高风险的特定非金融行业，逐步建立反洗钱和反恐怖融资监管制度。按照“一业一策”原则，由反洗钱行政主管部门会同特定非金融行业主管部门发布特定行业的反洗钱和反恐怖融资监管制度，根据行业监管现状、被监管机构经营特点等确定行业反洗钱和反恐怖融资监管模式。积极发挥行业协会和自律组织的作用，指导行业协会制定本行业反洗钱和反恐怖融资工作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三）加强监管政策配套，健全风险防控制度。研究建立各监管部门对新成立反洗钱义务机构、非营利组织及其董事、监事和高级管理人员的反洗钱背景审查制度，严格审核发起人、股东、实际控制人、最终受益人和董事、监事、高级管理人员背景，审查资金来源和渠道，从源头上防止不法分子通过创设组织机构进行洗钱、恐怖融资和逃税活动。研究各类无记名可转让有价证券的洗钱风险以及需纳入监管的重点，研究无记名可转让有价证券价值甄别和真伪核验技术，明确反洗钱行政主管部门与海关监管分工，推动对跨境携带无记名可转让有价证券的监管及通报制度尽快出台。制定海关向反洗钱行政主管部门、公安机关、国家安全机关通报跨境携带现金信息的具体程序，完善跨境异常资金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四、健全预防措施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四）建立健全防控风险为本的监管机制，引导反洗钱义务机构有效化解风险。以有效防控风险为目标，持续优化反洗钱监管政策框架，合理确定反洗钱监管风险容忍度，建立健全监管政策传导机制，督促、引导、激励反洗钱义务机构积极主动加强洗钱和恐怖融资风险管理，充分发挥其在预防洗钱、恐怖融资和逃税方面的“第一道防线”作用。综合运用反洗钱监管政策工具，推行分类监管，完善风险预警和应急处置机制，切实强化对高风险市场、高风险业务和高风险机构的反洗钱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五）强化法人监管措施，提升监管工作效率。反洗钱行政主管部门和国务院银行业、证券、保险监督管理机构要加强反洗钱监管，以促进反洗钱义务机构自我管理、自主管理风险为目标，逐步建立健全法人监管框架。围绕法人机构和分支机构、集团公司和子公司在风险管理中的不同定位和功能，对反洗钱监管政策适度分层分类。加强反洗钱义务机构总部内控机制要求，强化董事、监事和高级管理人员责任，督促反洗钱义务机构提高履行反洗钱义务的执行力。探索建立与法人监管相适应的监管分工合作机制，搭建满足法人监管需要的技术平台，逐步实现反洗钱监管信息跨区域共享。在严格遵守保密规定的前提下，研究建立反洗钱义务机构之间的反洗钱工作信息交流平台和交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六）健全监测分析体系，提升监测分析水平。不断拓宽反洗钱监测分析数据信息来源，依法推动数据信息在相关单位间的双向流动和共享。强化反洗钱监测分析工作的组织协调，有针对性地做好对重点领域、重点地区、重点人群的监测分析工作。不断延伸反洗钱监管触角，将相关单位关于可疑交易报告信息使用情况的反馈信息和评价意见，作为反洗钱行政主管部门开展反洗钱义务机构可疑交易报告评价工作的重要依据。丰富非现场监管政策工具，弥补书面审查工作的不足。发挥会计师事务所、律师事务所等专业服务机构在反洗钱监测预警和依法处置中的积极作用，研究专业服务机构有关反洗钱的制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七）鼓励创新和坚守底线并重，妥善应对伴随新业务和新业态出现的风险。建立健全反洗钱义务机构洗钱和恐怖融资风险自评估制度，对新产品、新业务、新技术、新渠道产生的洗钱和恐怖融资风险自主进行持续识别和评估，动态监测市场风险变化，完善有关反洗钱监管要求。强化反洗钱义务机构自主管理风险的责任，反洗钱义务机构推出新产品、新业务前，须开展洗钱和恐怖融资风险自评估，并按照风险评估结果采取有效的风险防控措施。鼓励反洗钱义务机构利用大数据、云计算等新技术提升反洗钱和反恐怖融资工作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八）完善跨境异常资金监控机制，预防打击跨境金融犯罪活动。以加强异常交易监测为切入点，综合运用外汇交易监测、跨境人民币交易监测和反洗钱资金交易监测等信息，及时发现跨境洗钱和恐怖融资风险。遵循反洗钱国际标准有关支付清算透明度的要求，指导金融机构加强风险管理，增强跨境人民币清算体系的“三反”监测预警功能，维护人民币支付清算体系的良好声誉，降低金融机构跨境业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十九）建立健全培训教育机制，培养建设专业人才队伍。建立全面覆盖各类反洗钱义务机构的反洗钱培训教育机制，提升相关人员反洗钱工作水平。积极鼓励创新反洗钱培训教育形式，充分利用现代科技手段扩大受众范围，加大对基层人员的教育培训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五、严惩违法犯罪活动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有效整合稽查资源，严厉打击涉税违法犯罪。建立健全随机抽查制度和案源管理制度，增强稽查质效。推行风险管理导向下的定向稽查模式，增强稽查的精准性和震慑力。防范和打击税基侵蚀及利润转移。在全国范围内开展跨部门、跨区域专项打击行动，联合查处一批骗取出口退税和虚开增值税专用发票重大案件，摧毁一批职业化犯罪团伙和网络，严惩一批违法犯罪企业和人员，挽回国家税款损失，有效遏制骗取出口退税和虚开增值税专用发票违法犯罪活动高发多发势头，维护国家税收秩序和税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一）建立打击关税违法犯罪活动合作机制。加强反洗钱行政主管部门与海关缉私部门的协作配合，合力打击偷逃关税违法犯罪活动。反洗钱行政主管部门要与海关缉私部门联合开展有关偷逃关税非法资金流动特征模型的研究，提升对偷逃关税违法犯罪资金线索的监测分析能力，及时向海关缉私部门通报；会同国务院银行业监督管理机构积极协助海关缉私部门打击偷逃关税违法犯罪活动资金交易，扩大打击偷逃关税违法犯罪活动成果，形成打击合力。海关缉私部门要及时将工作中发现的洗钱活动线索通报反洗钱行政主管部门及相关有权机关，积极协助反洗钱行政主管部门及相关有权机关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二）加大反洗钱调查工作力度，建立健全洗钱类型分析工作机制。进一步规范反洗钱调查工作程序，完善反洗钱调查流程，优化调查手段，加强可疑交易线索分析研判，加强反洗钱调查和线索移送，积极配合有权机关的协查请求，不断增强反洗钱调查工作实效。加强洗钱类型分析和风险提示，指导反洗钱义务机构开展洗钱类型分析，及时向反洗钱义务机构发布洗钱风险提示，督促反洗钱义务机构加强风险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六、深化国际合作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三）做好反洗钱和反恐怖融资互评估，树立良好国际形象。切实履行成员义务，积极做好金融行动特别工作组（FATF）反洗钱和反恐怖融资互评估。将国际组织评估作为完善和改进反洗钱工作的重要契机，组织动员相关单位和反洗钱义务机构，严格对照反洗钱国际标准，结合我国实际情况，切实提高反洗钱工作合规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四）深化反洗钱国际合作，促进我国总体战略部署顺利实施。进一步深入参与反洗钱国际标准研究、制定和监督执行，积极参与反洗钱国际（区域）组织内部治理改革和重大决策，提升我国在反洗钱国际（区域）组织中的话语权和影响力。继续加强反洗钱双边交流与合作，推进中美反洗钱和反恐怖融资监管合作。建立与部分重点国家（地区）的反洗钱监管合作机制，督促指导中资金融机构及其海外分支机构提升反洗钱工作意识和水平，维护其合法权益。配合“一带一路”倡议，做好与周边国家（地区）的反洗钱交流与合作。加强沟通协调，稳步推进加入埃格蒙特集团相关工作。利用国际金融情报交流平台，拓展反洗钱情报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五）深化反逃税国际合作，维护我国税收权益。深度参与二十国集团税制改革成果转化，积极参与国际税收规则制定，积极发出中国声音，提出中国方案，贡献中国智慧，切实提升中国税务话语权。加强双多边税收合作，充分发挥国际税收信息交换的作用，提高税收透明度，严厉打击国际逃避税，充分发挥反逃避税对反洗钱的积极作用，同时运用好反洗钱机制，不断提高反逃避税的精准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w:t>
      </w:r>
      <w:r>
        <w:rPr>
          <w:rFonts w:hint="eastAsia" w:ascii="宋体" w:hAnsi="宋体" w:eastAsia="宋体" w:cs="宋体"/>
          <w:b/>
          <w:color w:val="333333"/>
          <w:sz w:val="24"/>
          <w:szCs w:val="24"/>
          <w:bdr w:val="none" w:color="auto" w:sz="0" w:space="0"/>
        </w:rPr>
        <w:t>七、创造良好社会氛围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六）加强自律管理，充分发挥自律组织积极作用。各主管部门要指导相关行业协会积极参与“三反”工作，制定反洗钱自律规则和工作指引，加强自律管理，强化反洗钱义务机构守法、诚信、自律意识，推动反洗钱义务机构积极参与和配合“三反”工作，促进反洗钱义务机构之间交流信息和经验，营造积极健康的反洗钱合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rPr>
          <w:rFonts w:hint="eastAsia" w:ascii="宋体" w:hAnsi="宋体" w:eastAsia="宋体" w:cs="宋体"/>
        </w:rPr>
      </w:pPr>
      <w:r>
        <w:rPr>
          <w:rFonts w:hint="eastAsia" w:ascii="宋体" w:hAnsi="宋体" w:eastAsia="宋体" w:cs="宋体"/>
          <w:color w:val="333333"/>
          <w:sz w:val="24"/>
          <w:szCs w:val="24"/>
          <w:bdr w:val="none" w:color="auto" w:sz="0" w:space="0"/>
        </w:rPr>
        <w:t>　 （二十七）持续开展宣传教育，提升社会公众参与配合意识。建立常态化的“三反”宣传教育机制，向社会公众普及“三反”基本常识，提示风险，提高社会公众自我保护能力。采取灵活多样的形式开展宣传教育，提升社会公众“三反”意识，增强其主动配合“三反”工作的意愿，为开展“三反”工作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color w:val="333333"/>
          <w:sz w:val="24"/>
          <w:szCs w:val="24"/>
          <w:bdr w:val="none" w:color="auto" w:sz="0" w:space="0"/>
        </w:rPr>
        <w:t>　　国务院办公厅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right"/>
      </w:pPr>
      <w:r>
        <w:rPr>
          <w:rFonts w:hint="eastAsia" w:ascii="宋体" w:hAnsi="宋体" w:eastAsia="宋体" w:cs="宋体"/>
          <w:color w:val="333333"/>
          <w:sz w:val="24"/>
          <w:szCs w:val="24"/>
          <w:bdr w:val="none" w:color="auto" w:sz="0" w:space="0"/>
        </w:rPr>
        <w:t>　　2017年8月29日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9">
    <w:name w:val="bsharetext"/>
    <w:basedOn w:val="4"/>
    <w:uiPriority w:val="0"/>
  </w:style>
  <w:style w:type="character" w:customStyle="1" w:styleId="10">
    <w:name w:val="hover11"/>
    <w:basedOn w:val="4"/>
    <w:uiPriority w:val="0"/>
    <w:rPr>
      <w:color w:val="C80000"/>
      <w:bdr w:val="single" w:color="E0E0E0" w:sz="6" w:space="0"/>
      <w:shd w:val="clear" w:fill="FFFFFF"/>
    </w:rPr>
  </w:style>
  <w:style w:type="character" w:customStyle="1" w:styleId="11">
    <w:name w:val="hover12"/>
    <w:basedOn w:val="4"/>
    <w:uiPriority w:val="0"/>
    <w:rPr>
      <w:shd w:val="clear" w:fill="C80000"/>
    </w:rPr>
  </w:style>
  <w:style w:type="character" w:customStyle="1" w:styleId="12">
    <w:name w:val="hover13"/>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陈媚/htsec</cp:lastModifiedBy>
  <cp:lastPrinted>2017-12-12T05:51:17Z</cp:lastPrinted>
  <dcterms:modified xsi:type="dcterms:W3CDTF">2017-12-12T05:51:54Z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