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59" w:rsidRPr="00097E59" w:rsidRDefault="00097E59" w:rsidP="005B258D">
      <w:pPr>
        <w:pStyle w:val="a3"/>
        <w:shd w:val="clear" w:color="auto" w:fill="FFFFFF"/>
        <w:ind w:firstLineChars="250" w:firstLine="900"/>
        <w:jc w:val="center"/>
        <w:rPr>
          <w:rFonts w:ascii="微软雅黑" w:eastAsia="微软雅黑" w:hAnsi="微软雅黑"/>
          <w:color w:val="3E3E3E"/>
          <w:sz w:val="25"/>
          <w:szCs w:val="25"/>
        </w:rPr>
      </w:pPr>
      <w:r w:rsidRPr="00097E59">
        <w:rPr>
          <w:rFonts w:ascii="微软雅黑" w:eastAsia="微软雅黑" w:hAnsi="微软雅黑" w:hint="eastAsia"/>
          <w:b/>
          <w:color w:val="3E3E3E"/>
          <w:sz w:val="36"/>
          <w:szCs w:val="36"/>
        </w:rPr>
        <w:t>非法集资案例</w:t>
      </w:r>
    </w:p>
    <w:p w:rsidR="00097E59" w:rsidRDefault="00097E59" w:rsidP="00097E59">
      <w:pPr>
        <w:pStyle w:val="a3"/>
        <w:shd w:val="clear" w:color="auto" w:fill="FFFFFF"/>
        <w:ind w:firstLineChars="250" w:firstLine="625"/>
        <w:jc w:val="both"/>
        <w:rPr>
          <w:rFonts w:ascii="微软雅黑" w:eastAsia="微软雅黑" w:hAnsi="微软雅黑"/>
          <w:color w:val="3E3E3E"/>
          <w:sz w:val="25"/>
          <w:szCs w:val="25"/>
        </w:rPr>
      </w:pPr>
      <w:r w:rsidRPr="00097E59">
        <w:rPr>
          <w:rFonts w:ascii="微软雅黑" w:eastAsia="微软雅黑" w:hAnsi="微软雅黑" w:hint="eastAsia"/>
          <w:color w:val="3E3E3E"/>
          <w:sz w:val="25"/>
          <w:szCs w:val="25"/>
        </w:rPr>
        <w:t>非法集资犯罪在各地均有发生，与其它经济犯罪相比，非法集资犯罪一般都经过宣传造势、募集资金、还本付息、最后崩盘等环节，作案周期普遍较长。非法集资犯罪的这一特点决定了一旦案发容易产生许多严重的社会问题，滋生绑架、暴力逼债等犯罪行为，酿成群体性事件，给社会和谐稳定带来较大压力。</w:t>
      </w:r>
    </w:p>
    <w:p w:rsidR="00097E59" w:rsidRDefault="00097E59" w:rsidP="00097E59">
      <w:pPr>
        <w:pStyle w:val="a3"/>
        <w:shd w:val="clear" w:color="auto" w:fill="FFFFFF"/>
        <w:ind w:firstLineChars="250" w:firstLine="625"/>
        <w:jc w:val="both"/>
        <w:rPr>
          <w:rFonts w:ascii="微软雅黑" w:eastAsia="微软雅黑" w:hAnsi="微软雅黑"/>
          <w:color w:val="3E3E3E"/>
          <w:sz w:val="25"/>
          <w:szCs w:val="25"/>
        </w:rPr>
      </w:pPr>
    </w:p>
    <w:p w:rsidR="00097E59" w:rsidRPr="00097E59" w:rsidRDefault="00097E59" w:rsidP="00097E59">
      <w:pPr>
        <w:pStyle w:val="a3"/>
        <w:shd w:val="clear" w:color="auto" w:fill="FFFFFF"/>
        <w:ind w:firstLineChars="250" w:firstLine="700"/>
        <w:jc w:val="center"/>
        <w:rPr>
          <w:rFonts w:ascii="微软雅黑" w:eastAsia="微软雅黑" w:hAnsi="微软雅黑"/>
          <w:b/>
          <w:color w:val="3E3E3E"/>
          <w:sz w:val="28"/>
          <w:szCs w:val="28"/>
        </w:rPr>
      </w:pPr>
      <w:r w:rsidRPr="00097E59">
        <w:rPr>
          <w:rFonts w:ascii="微软雅黑" w:eastAsia="微软雅黑" w:hAnsi="微软雅黑" w:hint="eastAsia"/>
          <w:b/>
          <w:color w:val="3E3E3E"/>
          <w:sz w:val="28"/>
          <w:szCs w:val="28"/>
        </w:rPr>
        <w:t>中</w:t>
      </w:r>
      <w:proofErr w:type="gramStart"/>
      <w:r w:rsidRPr="00097E59">
        <w:rPr>
          <w:rFonts w:ascii="微软雅黑" w:eastAsia="微软雅黑" w:hAnsi="微软雅黑" w:hint="eastAsia"/>
          <w:b/>
          <w:color w:val="3E3E3E"/>
          <w:sz w:val="28"/>
          <w:szCs w:val="28"/>
        </w:rPr>
        <w:t>晋非法</w:t>
      </w:r>
      <w:proofErr w:type="gramEnd"/>
      <w:r w:rsidRPr="00097E59">
        <w:rPr>
          <w:rFonts w:ascii="微软雅黑" w:eastAsia="微软雅黑" w:hAnsi="微软雅黑" w:hint="eastAsia"/>
          <w:b/>
          <w:color w:val="3E3E3E"/>
          <w:sz w:val="28"/>
          <w:szCs w:val="28"/>
        </w:rPr>
        <w:t>集资</w:t>
      </w:r>
    </w:p>
    <w:p w:rsidR="00044DAB" w:rsidRDefault="00097E59" w:rsidP="00097E59">
      <w:pPr>
        <w:pStyle w:val="a3"/>
        <w:shd w:val="clear" w:color="auto" w:fill="FFFFFF"/>
        <w:ind w:firstLineChars="250" w:firstLine="625"/>
        <w:jc w:val="both"/>
        <w:rPr>
          <w:rFonts w:ascii="微软雅黑" w:eastAsia="微软雅黑" w:hAnsi="微软雅黑"/>
          <w:color w:val="3E3E3E"/>
          <w:sz w:val="25"/>
          <w:szCs w:val="25"/>
        </w:rPr>
      </w:pPr>
      <w:r w:rsidRPr="00097E59">
        <w:rPr>
          <w:rFonts w:ascii="微软雅黑" w:eastAsia="微软雅黑" w:hAnsi="微软雅黑" w:hint="eastAsia"/>
          <w:color w:val="3E3E3E"/>
          <w:sz w:val="25"/>
          <w:szCs w:val="25"/>
        </w:rPr>
        <w:t>中</w:t>
      </w:r>
      <w:proofErr w:type="gramStart"/>
      <w:r w:rsidRPr="00097E59">
        <w:rPr>
          <w:rFonts w:ascii="微软雅黑" w:eastAsia="微软雅黑" w:hAnsi="微软雅黑" w:hint="eastAsia"/>
          <w:color w:val="3E3E3E"/>
          <w:sz w:val="25"/>
          <w:szCs w:val="25"/>
        </w:rPr>
        <w:t>晋非法</w:t>
      </w:r>
      <w:proofErr w:type="gramEnd"/>
      <w:r w:rsidRPr="00097E59">
        <w:rPr>
          <w:rFonts w:ascii="微软雅黑" w:eastAsia="微软雅黑" w:hAnsi="微软雅黑" w:hint="eastAsia"/>
          <w:color w:val="3E3E3E"/>
          <w:sz w:val="25"/>
          <w:szCs w:val="25"/>
        </w:rPr>
        <w:t>集资</w:t>
      </w:r>
      <w:r w:rsidR="00044DAB">
        <w:rPr>
          <w:rFonts w:ascii="微软雅黑" w:eastAsia="微软雅黑" w:hAnsi="微软雅黑" w:hint="eastAsia"/>
          <w:color w:val="3E3E3E"/>
          <w:sz w:val="25"/>
          <w:szCs w:val="25"/>
        </w:rPr>
        <w:t>4月6日，上海市公安局官方</w:t>
      </w:r>
      <w:proofErr w:type="gramStart"/>
      <w:r w:rsidR="00044DAB">
        <w:rPr>
          <w:rFonts w:ascii="微软雅黑" w:eastAsia="微软雅黑" w:hAnsi="微软雅黑" w:hint="eastAsia"/>
          <w:color w:val="3E3E3E"/>
          <w:sz w:val="25"/>
          <w:szCs w:val="25"/>
        </w:rPr>
        <w:t>微博称</w:t>
      </w:r>
      <w:proofErr w:type="gramEnd"/>
      <w:r w:rsidR="00044DAB">
        <w:rPr>
          <w:rFonts w:ascii="微软雅黑" w:eastAsia="微软雅黑" w:hAnsi="微软雅黑" w:hint="eastAsia"/>
          <w:color w:val="3E3E3E"/>
          <w:sz w:val="25"/>
          <w:szCs w:val="25"/>
        </w:rPr>
        <w:t>，中</w:t>
      </w:r>
      <w:proofErr w:type="gramStart"/>
      <w:r w:rsidR="00044DAB">
        <w:rPr>
          <w:rFonts w:ascii="微软雅黑" w:eastAsia="微软雅黑" w:hAnsi="微软雅黑" w:hint="eastAsia"/>
          <w:color w:val="3E3E3E"/>
          <w:sz w:val="25"/>
          <w:szCs w:val="25"/>
        </w:rPr>
        <w:t>晋系相关联</w:t>
      </w:r>
      <w:proofErr w:type="gramEnd"/>
      <w:r w:rsidR="00044DAB">
        <w:rPr>
          <w:rFonts w:ascii="微软雅黑" w:eastAsia="微软雅黑" w:hAnsi="微软雅黑" w:hint="eastAsia"/>
          <w:color w:val="3E3E3E"/>
          <w:sz w:val="25"/>
          <w:szCs w:val="25"/>
        </w:rPr>
        <w:t>公司涉嫌非法集资诈骗而被查处，实际控制人徐勤等人在准备出境时被公安人员当场截获，其余20余名核心成员也在4月5日全部抓获。据了解，中晋系投资注册50余家子公司，并控制100余家有限合伙企业，以私</w:t>
      </w:r>
      <w:proofErr w:type="gramStart"/>
      <w:r w:rsidR="00044DAB">
        <w:rPr>
          <w:rFonts w:ascii="微软雅黑" w:eastAsia="微软雅黑" w:hAnsi="微软雅黑" w:hint="eastAsia"/>
          <w:color w:val="3E3E3E"/>
          <w:sz w:val="25"/>
          <w:szCs w:val="25"/>
        </w:rPr>
        <w:t>募股权投资</w:t>
      </w:r>
      <w:proofErr w:type="gramEnd"/>
      <w:r w:rsidR="00044DAB">
        <w:rPr>
          <w:rFonts w:ascii="微软雅黑" w:eastAsia="微软雅黑" w:hAnsi="微软雅黑" w:hint="eastAsia"/>
          <w:color w:val="3E3E3E"/>
          <w:sz w:val="25"/>
          <w:szCs w:val="25"/>
        </w:rPr>
        <w:t>产出高收益率吸引投资者。数据显示，截至2016年2月10日，中晋合伙人投资总额已突破340亿元，涉及总人次超过13万。</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值得一提的是，“中晋系”虽然被曝涉嫌非法集资诈骗，但直到被抓当日，该公司的相关产品的兑付从未出现过困难。有投资者向时代周报记者表示，“100多家子公司都在漕河</w:t>
      </w:r>
      <w:proofErr w:type="gramStart"/>
      <w:r>
        <w:rPr>
          <w:rFonts w:ascii="微软雅黑" w:eastAsia="微软雅黑" w:hAnsi="微软雅黑" w:hint="eastAsia"/>
          <w:color w:val="3E3E3E"/>
          <w:sz w:val="25"/>
          <w:szCs w:val="25"/>
        </w:rPr>
        <w:t>泾</w:t>
      </w:r>
      <w:proofErr w:type="gramEnd"/>
      <w:r>
        <w:rPr>
          <w:rFonts w:ascii="微软雅黑" w:eastAsia="微软雅黑" w:hAnsi="微软雅黑" w:hint="eastAsia"/>
          <w:color w:val="3E3E3E"/>
          <w:sz w:val="25"/>
          <w:szCs w:val="25"/>
        </w:rPr>
        <w:t>的那幢国</w:t>
      </w:r>
      <w:proofErr w:type="gramStart"/>
      <w:r>
        <w:rPr>
          <w:rFonts w:ascii="微软雅黑" w:eastAsia="微软雅黑" w:hAnsi="微软雅黑" w:hint="eastAsia"/>
          <w:color w:val="3E3E3E"/>
          <w:sz w:val="25"/>
          <w:szCs w:val="25"/>
        </w:rPr>
        <w:t>太</w:t>
      </w:r>
      <w:proofErr w:type="gramEnd"/>
      <w:r>
        <w:rPr>
          <w:rFonts w:ascii="微软雅黑" w:eastAsia="微软雅黑" w:hAnsi="微软雅黑" w:hint="eastAsia"/>
          <w:color w:val="3E3E3E"/>
          <w:sz w:val="25"/>
          <w:szCs w:val="25"/>
        </w:rPr>
        <w:t>单位，我现在只查了40多家，很多公司都一个地址”。</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lastRenderedPageBreak/>
        <w:t xml:space="preserve">　　截至目前，上海公安机关并未公开最新进展；而有中</w:t>
      </w:r>
      <w:proofErr w:type="gramStart"/>
      <w:r>
        <w:rPr>
          <w:rFonts w:ascii="微软雅黑" w:eastAsia="微软雅黑" w:hAnsi="微软雅黑" w:hint="eastAsia"/>
          <w:color w:val="3E3E3E"/>
          <w:sz w:val="25"/>
          <w:szCs w:val="25"/>
        </w:rPr>
        <w:t>晋内部</w:t>
      </w:r>
      <w:proofErr w:type="gramEnd"/>
      <w:r>
        <w:rPr>
          <w:rFonts w:ascii="微软雅黑" w:eastAsia="微软雅黑" w:hAnsi="微软雅黑" w:hint="eastAsia"/>
          <w:color w:val="3E3E3E"/>
          <w:sz w:val="25"/>
          <w:szCs w:val="25"/>
        </w:rPr>
        <w:t>员工向时代周报记者表示，“对于赔付问题，目前公司没有钱可以赔付，”另外有知情人士透露，“融资来的钱很多都已经洗出去了”。</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面对一连串的兑付风波，易</w:t>
      </w:r>
      <w:proofErr w:type="gramStart"/>
      <w:r>
        <w:rPr>
          <w:rFonts w:ascii="微软雅黑" w:eastAsia="微软雅黑" w:hAnsi="微软雅黑" w:hint="eastAsia"/>
          <w:color w:val="3E3E3E"/>
          <w:sz w:val="25"/>
          <w:szCs w:val="25"/>
        </w:rPr>
        <w:t>通贷</w:t>
      </w:r>
      <w:proofErr w:type="gramEnd"/>
      <w:r>
        <w:rPr>
          <w:rFonts w:ascii="微软雅黑" w:eastAsia="微软雅黑" w:hAnsi="微软雅黑" w:hint="eastAsia"/>
          <w:color w:val="3E3E3E"/>
          <w:sz w:val="25"/>
          <w:szCs w:val="25"/>
        </w:rPr>
        <w:t>总经理康文发文表示，“泛亚是贵金属交易所，快鹿系是众筹拍电影，中晋是做股权基金，事实上都不是P2P企业，P2P成为互联网金融企业非法集资的背锅侠”。</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事实上，针对私募机构非法集资行为，中国证券投资基金业协会会长洪磊此前透露，《私募基金募集行为管理办法》(下称《管理办法》)将在本月发布。重点</w:t>
      </w:r>
      <w:proofErr w:type="gramStart"/>
      <w:r>
        <w:rPr>
          <w:rFonts w:ascii="微软雅黑" w:eastAsia="微软雅黑" w:hAnsi="微软雅黑" w:hint="eastAsia"/>
          <w:color w:val="3E3E3E"/>
          <w:sz w:val="25"/>
          <w:szCs w:val="25"/>
        </w:rPr>
        <w:t>会在于</w:t>
      </w:r>
      <w:proofErr w:type="gramEnd"/>
      <w:r>
        <w:rPr>
          <w:rFonts w:ascii="微软雅黑" w:eastAsia="微软雅黑" w:hAnsi="微软雅黑" w:hint="eastAsia"/>
          <w:color w:val="3E3E3E"/>
          <w:sz w:val="25"/>
          <w:szCs w:val="25"/>
        </w:rPr>
        <w:t>非法集资的认定和禁止私募拆分的问题上。业内分析人士认为，私募管理办法的出台，以及近期有关部门的严打措施，预计调查风暴即将来临。上周，上海已全部暂停投资类公司注册。</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w:t>
      </w:r>
      <w:r>
        <w:rPr>
          <w:rStyle w:val="a4"/>
          <w:rFonts w:ascii="微软雅黑" w:eastAsia="微软雅黑" w:hAnsi="微软雅黑" w:hint="eastAsia"/>
          <w:color w:val="3E3E3E"/>
          <w:sz w:val="25"/>
          <w:szCs w:val="25"/>
        </w:rPr>
        <w:t>中</w:t>
      </w:r>
      <w:proofErr w:type="gramStart"/>
      <w:r>
        <w:rPr>
          <w:rStyle w:val="a4"/>
          <w:rFonts w:ascii="微软雅黑" w:eastAsia="微软雅黑" w:hAnsi="微软雅黑" w:hint="eastAsia"/>
          <w:color w:val="3E3E3E"/>
          <w:sz w:val="25"/>
          <w:szCs w:val="25"/>
        </w:rPr>
        <w:t>晋投资</w:t>
      </w:r>
      <w:proofErr w:type="gramEnd"/>
      <w:r>
        <w:rPr>
          <w:rStyle w:val="a4"/>
          <w:rFonts w:ascii="微软雅黑" w:eastAsia="微软雅黑" w:hAnsi="微软雅黑" w:hint="eastAsia"/>
          <w:color w:val="3E3E3E"/>
          <w:sz w:val="25"/>
          <w:szCs w:val="25"/>
        </w:rPr>
        <w:t>被查封</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根据上海公安局的公告，4月4日，上海市公安局经侦总队根据群众举报，在本市浦东、黄浦、静安等地对涉嫌非法吸收公众存款和非法集资诈骗犯罪的国太控股、中晋股权投资基金管理、上海中晋一期股权投资基金等“中晋系”相关联的公司进行了查处，实际控制人徐勤等人在准备出境时被公安人员当场在机场截获，其余20余名核心组织成员在4月5日也被全部抓获。</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公开资料显示，国太控股成立于2013年5月9日，注册资本19.5亿元，法定代表人陈佳菁，对外投资子公司多达90家。国太控股</w:t>
      </w:r>
      <w:proofErr w:type="gramStart"/>
      <w:r>
        <w:rPr>
          <w:rFonts w:ascii="微软雅黑" w:eastAsia="微软雅黑" w:hAnsi="微软雅黑" w:hint="eastAsia"/>
          <w:color w:val="3E3E3E"/>
          <w:sz w:val="25"/>
          <w:szCs w:val="25"/>
        </w:rPr>
        <w:t>官网称</w:t>
      </w:r>
      <w:proofErr w:type="gramEnd"/>
      <w:r>
        <w:rPr>
          <w:rFonts w:ascii="微软雅黑" w:eastAsia="微软雅黑" w:hAnsi="微软雅黑" w:hint="eastAsia"/>
          <w:color w:val="3E3E3E"/>
          <w:sz w:val="25"/>
          <w:szCs w:val="25"/>
        </w:rPr>
        <w:t>，公司组建于2013年，目前已是多家上市公司的主要股东，一百多家非上市公司控股</w:t>
      </w:r>
      <w:r>
        <w:rPr>
          <w:rFonts w:ascii="微软雅黑" w:eastAsia="微软雅黑" w:hAnsi="微软雅黑" w:hint="eastAsia"/>
          <w:color w:val="3E3E3E"/>
          <w:sz w:val="25"/>
          <w:szCs w:val="25"/>
        </w:rPr>
        <w:lastRenderedPageBreak/>
        <w:t>股东。集团下设有七大事业部，投资领域涉及交通运输、建筑、房地产、金融、批发零售、商业服务、信息技术等。工商变更显示，徐勤为该公司发起人股东。而“中晋系”的投资公司背后股东均为国太控股。</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中晋系所推出的私</w:t>
      </w:r>
      <w:proofErr w:type="gramStart"/>
      <w:r>
        <w:rPr>
          <w:rFonts w:ascii="微软雅黑" w:eastAsia="微软雅黑" w:hAnsi="微软雅黑" w:hint="eastAsia"/>
          <w:color w:val="3E3E3E"/>
          <w:sz w:val="25"/>
          <w:szCs w:val="25"/>
        </w:rPr>
        <w:t>募股权投资</w:t>
      </w:r>
      <w:proofErr w:type="gramEnd"/>
      <w:r>
        <w:rPr>
          <w:rFonts w:ascii="微软雅黑" w:eastAsia="微软雅黑" w:hAnsi="微软雅黑" w:hint="eastAsia"/>
          <w:color w:val="3E3E3E"/>
          <w:sz w:val="25"/>
          <w:szCs w:val="25"/>
        </w:rPr>
        <w:t>产品，投资标的均为中晋及国太控股自身注册并控制的企业，涉嫌自融。有投资者向时代周报记者表示，“后来我仔细查了一下，很多公司的注册地址几乎一样”。然而，多位投资者向时代周报记者表示，“中晋系的产品近年来未出现过兑付问题，这一次被查封感到非常突兀”。</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w:t>
      </w:r>
      <w:r>
        <w:rPr>
          <w:rStyle w:val="a4"/>
          <w:rFonts w:ascii="微软雅黑" w:eastAsia="微软雅黑" w:hAnsi="微软雅黑" w:hint="eastAsia"/>
          <w:color w:val="3E3E3E"/>
          <w:sz w:val="25"/>
          <w:szCs w:val="25"/>
        </w:rPr>
        <w:t>港股股价暴跌，中晋系投资亏损</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中晋系企业早在2015年开始登陆港股；据国太</w:t>
      </w:r>
      <w:proofErr w:type="gramStart"/>
      <w:r>
        <w:rPr>
          <w:rFonts w:ascii="微软雅黑" w:eastAsia="微软雅黑" w:hAnsi="微软雅黑" w:hint="eastAsia"/>
          <w:color w:val="3E3E3E"/>
          <w:sz w:val="25"/>
          <w:szCs w:val="25"/>
        </w:rPr>
        <w:t>控股官网介绍</w:t>
      </w:r>
      <w:proofErr w:type="gramEnd"/>
      <w:r>
        <w:rPr>
          <w:rFonts w:ascii="微软雅黑" w:eastAsia="微软雅黑" w:hAnsi="微软雅黑" w:hint="eastAsia"/>
          <w:color w:val="3E3E3E"/>
          <w:sz w:val="25"/>
          <w:szCs w:val="25"/>
        </w:rPr>
        <w:t>，该公司于2015年底至2016年初，连续介入了三家港股上市公司，分别</w:t>
      </w:r>
      <w:proofErr w:type="gramStart"/>
      <w:r>
        <w:rPr>
          <w:rFonts w:ascii="微软雅黑" w:eastAsia="微软雅黑" w:hAnsi="微软雅黑" w:hint="eastAsia"/>
          <w:color w:val="3E3E3E"/>
          <w:sz w:val="25"/>
          <w:szCs w:val="25"/>
        </w:rPr>
        <w:t>是华耐控股</w:t>
      </w:r>
      <w:proofErr w:type="gramEnd"/>
      <w:r>
        <w:rPr>
          <w:rFonts w:ascii="微软雅黑" w:eastAsia="微软雅黑" w:hAnsi="微软雅黑" w:hint="eastAsia"/>
          <w:color w:val="3E3E3E"/>
          <w:sz w:val="25"/>
          <w:szCs w:val="25"/>
        </w:rPr>
        <w:t>(01020 HK)、中国创新投资和中国趋势。然而，中晋系的被查封也引发其港股上市企业的股价暴跌。4月6日当天，</w:t>
      </w:r>
      <w:proofErr w:type="gramStart"/>
      <w:r>
        <w:rPr>
          <w:rFonts w:ascii="微软雅黑" w:eastAsia="微软雅黑" w:hAnsi="微软雅黑" w:hint="eastAsia"/>
          <w:color w:val="3E3E3E"/>
          <w:sz w:val="25"/>
          <w:szCs w:val="25"/>
        </w:rPr>
        <w:t>华耐控股</w:t>
      </w:r>
      <w:proofErr w:type="gramEnd"/>
      <w:r>
        <w:rPr>
          <w:rFonts w:ascii="微软雅黑" w:eastAsia="微软雅黑" w:hAnsi="微软雅黑" w:hint="eastAsia"/>
          <w:color w:val="3E3E3E"/>
          <w:sz w:val="25"/>
          <w:szCs w:val="25"/>
        </w:rPr>
        <w:t>大跌14.19%，中国创新投资大跌26.32%，中国趋势下跌21.74%。</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w:t>
      </w:r>
      <w:proofErr w:type="gramStart"/>
      <w:r>
        <w:rPr>
          <w:rFonts w:ascii="微软雅黑" w:eastAsia="微软雅黑" w:hAnsi="微软雅黑" w:hint="eastAsia"/>
          <w:color w:val="3E3E3E"/>
          <w:sz w:val="25"/>
          <w:szCs w:val="25"/>
        </w:rPr>
        <w:t>港交所资料</w:t>
      </w:r>
      <w:proofErr w:type="gramEnd"/>
      <w:r>
        <w:rPr>
          <w:rFonts w:ascii="微软雅黑" w:eastAsia="微软雅黑" w:hAnsi="微软雅黑" w:hint="eastAsia"/>
          <w:color w:val="3E3E3E"/>
          <w:sz w:val="25"/>
          <w:szCs w:val="25"/>
        </w:rPr>
        <w:t>显示，国太控股</w:t>
      </w:r>
      <w:proofErr w:type="gramStart"/>
      <w:r>
        <w:rPr>
          <w:rFonts w:ascii="微软雅黑" w:eastAsia="微软雅黑" w:hAnsi="微软雅黑" w:hint="eastAsia"/>
          <w:color w:val="3E3E3E"/>
          <w:sz w:val="25"/>
          <w:szCs w:val="25"/>
        </w:rPr>
        <w:t>拥有华耐控股</w:t>
      </w:r>
      <w:proofErr w:type="gramEnd"/>
      <w:r>
        <w:rPr>
          <w:rFonts w:ascii="微软雅黑" w:eastAsia="微软雅黑" w:hAnsi="微软雅黑" w:hint="eastAsia"/>
          <w:color w:val="3E3E3E"/>
          <w:sz w:val="25"/>
          <w:szCs w:val="25"/>
        </w:rPr>
        <w:t>8.56%股权，曾</w:t>
      </w:r>
      <w:proofErr w:type="gramStart"/>
      <w:r>
        <w:rPr>
          <w:rFonts w:ascii="微软雅黑" w:eastAsia="微软雅黑" w:hAnsi="微软雅黑" w:hint="eastAsia"/>
          <w:color w:val="3E3E3E"/>
          <w:sz w:val="25"/>
          <w:szCs w:val="25"/>
        </w:rPr>
        <w:t>是华耐控股</w:t>
      </w:r>
      <w:proofErr w:type="gramEnd"/>
      <w:r>
        <w:rPr>
          <w:rFonts w:ascii="微软雅黑" w:eastAsia="微软雅黑" w:hAnsi="微软雅黑" w:hint="eastAsia"/>
          <w:color w:val="3E3E3E"/>
          <w:sz w:val="25"/>
          <w:szCs w:val="25"/>
        </w:rPr>
        <w:t>的第一大股东。此外，公开资料显示，国太控股分别持有中国创新投资、中国趋势27.68%和17.825%的股权。不过有消息称，今年2月，国太控股清仓了中国趋势。</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公开资料显示，2015年12月28日，国太控股以0.07港元/股的价格买入中国创新投资17亿股，耗资1.19亿港元，持股比例为19.97%。2016</w:t>
      </w:r>
      <w:r>
        <w:rPr>
          <w:rFonts w:ascii="微软雅黑" w:eastAsia="微软雅黑" w:hAnsi="微软雅黑" w:hint="eastAsia"/>
          <w:color w:val="3E3E3E"/>
          <w:sz w:val="25"/>
          <w:szCs w:val="25"/>
        </w:rPr>
        <w:lastRenderedPageBreak/>
        <w:t>年2月1日，再增持6.6272亿股，每股价格为0.067港元，总计金额4440.22万港元。截至目前，国太控股持有中国创新投资总计23.6272亿股，持股比例为27.75%。截至4月11日，中国创新投资股价为0.053港元/股左右。以当初的买入成本来计算，国太控股已亏损约3500万港元。</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2015年12月28日，国太控股也同时入股了中国趋势，以0.07港元/股买入中国趋势12亿股，持股比例为17.82%。2016年2月1日，国太控股减持中国趋势，全部卖出，卖出价格相较买入价格折让47.14%。这意味着国太控股在这笔投资上亏损了4440万港元。</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w:t>
      </w:r>
      <w:proofErr w:type="gramStart"/>
      <w:r>
        <w:rPr>
          <w:rFonts w:ascii="微软雅黑" w:eastAsia="微软雅黑" w:hAnsi="微软雅黑" w:hint="eastAsia"/>
          <w:color w:val="3E3E3E"/>
          <w:sz w:val="25"/>
          <w:szCs w:val="25"/>
        </w:rPr>
        <w:t>华耐控股</w:t>
      </w:r>
      <w:proofErr w:type="gramEnd"/>
      <w:r>
        <w:rPr>
          <w:rFonts w:ascii="微软雅黑" w:eastAsia="微软雅黑" w:hAnsi="微软雅黑" w:hint="eastAsia"/>
          <w:color w:val="3E3E3E"/>
          <w:sz w:val="25"/>
          <w:szCs w:val="25"/>
        </w:rPr>
        <w:t>公告称，国太控股此前共购入3亿股股份，相当于总股本的11.68%。</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w:t>
      </w:r>
      <w:r>
        <w:rPr>
          <w:rStyle w:val="a4"/>
          <w:rFonts w:ascii="微软雅黑" w:eastAsia="微软雅黑" w:hAnsi="微软雅黑" w:hint="eastAsia"/>
          <w:color w:val="3E3E3E"/>
          <w:sz w:val="25"/>
          <w:szCs w:val="25"/>
        </w:rPr>
        <w:t>私募调查风暴将至</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此前，公众视野一直将此前发生兑付危机的庞氏骗局，如泛亚、E</w:t>
      </w:r>
      <w:proofErr w:type="gramStart"/>
      <w:r>
        <w:rPr>
          <w:rFonts w:ascii="微软雅黑" w:eastAsia="微软雅黑" w:hAnsi="微软雅黑" w:hint="eastAsia"/>
          <w:color w:val="3E3E3E"/>
          <w:sz w:val="25"/>
          <w:szCs w:val="25"/>
        </w:rPr>
        <w:t>租宝等</w:t>
      </w:r>
      <w:proofErr w:type="gramEnd"/>
      <w:r>
        <w:rPr>
          <w:rFonts w:ascii="微软雅黑" w:eastAsia="微软雅黑" w:hAnsi="微软雅黑" w:hint="eastAsia"/>
          <w:color w:val="3E3E3E"/>
          <w:sz w:val="25"/>
          <w:szCs w:val="25"/>
        </w:rPr>
        <w:t>机构认定为P2P企业。事实上，这些爆发兑付危机的企业实质上是非法的私募集资。</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据介绍，两年来，私募基金行业发展迅猛，问题和风险也不断凸显。在协会已经登记的近2.6万家私</w:t>
      </w:r>
      <w:proofErr w:type="gramStart"/>
      <w:r>
        <w:rPr>
          <w:rFonts w:ascii="微软雅黑" w:eastAsia="微软雅黑" w:hAnsi="微软雅黑" w:hint="eastAsia"/>
          <w:color w:val="3E3E3E"/>
          <w:sz w:val="25"/>
          <w:szCs w:val="25"/>
        </w:rPr>
        <w:t>募</w:t>
      </w:r>
      <w:proofErr w:type="gramEnd"/>
      <w:r>
        <w:rPr>
          <w:rFonts w:ascii="微软雅黑" w:eastAsia="微软雅黑" w:hAnsi="微软雅黑" w:hint="eastAsia"/>
          <w:color w:val="3E3E3E"/>
          <w:sz w:val="25"/>
          <w:szCs w:val="25"/>
        </w:rPr>
        <w:t>基金管理人中，有管理规模的仅有8414家，占比32.4%。2015年5月协会建立投诉登记制度以来，针对私募基金投诉事件有495件，占比高达85%。</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lastRenderedPageBreak/>
        <w:t xml:space="preserve">　　时代周报记者发现，众多爆发兑付危机的企业多涉嫌私募拆分，并且私募产品也并未登记备案，投资者认定也并不合</w:t>
      </w:r>
      <w:proofErr w:type="gramStart"/>
      <w:r>
        <w:rPr>
          <w:rFonts w:ascii="微软雅黑" w:eastAsia="微软雅黑" w:hAnsi="微软雅黑" w:hint="eastAsia"/>
          <w:color w:val="3E3E3E"/>
          <w:sz w:val="25"/>
          <w:szCs w:val="25"/>
        </w:rPr>
        <w:t>规</w:t>
      </w:r>
      <w:proofErr w:type="gramEnd"/>
      <w:r>
        <w:rPr>
          <w:rFonts w:ascii="微软雅黑" w:eastAsia="微软雅黑" w:hAnsi="微软雅黑" w:hint="eastAsia"/>
          <w:color w:val="3E3E3E"/>
          <w:sz w:val="25"/>
          <w:szCs w:val="25"/>
        </w:rPr>
        <w:t>。根据《募集办法》，合格投资者是指，近三年年收入大于50万元，金融资产不低于300万元的投资者。合格投资者身份确认后，单人购买私募基金的金额最低为100万元，不允许非法拆分转让。</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早在2015年12月，针对市场上的私募非法集资行为，</w:t>
      </w:r>
      <w:proofErr w:type="gramStart"/>
      <w:r>
        <w:rPr>
          <w:rFonts w:ascii="微软雅黑" w:eastAsia="微软雅黑" w:hAnsi="微软雅黑" w:hint="eastAsia"/>
          <w:color w:val="3E3E3E"/>
          <w:sz w:val="25"/>
          <w:szCs w:val="25"/>
        </w:rPr>
        <w:t>中基协出台</w:t>
      </w:r>
      <w:proofErr w:type="gramEnd"/>
      <w:r>
        <w:rPr>
          <w:rFonts w:ascii="微软雅黑" w:eastAsia="微软雅黑" w:hAnsi="微软雅黑" w:hint="eastAsia"/>
          <w:color w:val="3E3E3E"/>
          <w:sz w:val="25"/>
          <w:szCs w:val="25"/>
        </w:rPr>
        <w:t>《私募基金募集行为管理办法》，开始公开征求意见。中国证券投资基金业协会会长洪磊透露，《私募基金募集行为管理办法》将在4月发布。洪磊还提到，《募集办法》主要对募集机构资质、风险责任界定和合格投资者标准等进行明确细化。对于“谁能募集”，洪磊表示，私募基金销售机构需在协会登记产品备案的才有资格，否则有非法集资嫌疑。</w:t>
      </w:r>
    </w:p>
    <w:p w:rsidR="00A147C2" w:rsidRDefault="00044DAB" w:rsidP="00D136B3">
      <w:pPr>
        <w:pStyle w:val="a3"/>
        <w:shd w:val="clear" w:color="auto" w:fill="FFFFFF"/>
        <w:ind w:left="315" w:right="315" w:firstLine="500"/>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据了解，公开征求意见4个月之久，其中最重头的在于“未登记备案视为非法集资”。业内有相关人士向时代周报记者表示，在刚刚爆出中</w:t>
      </w:r>
      <w:proofErr w:type="gramStart"/>
      <w:r>
        <w:rPr>
          <w:rFonts w:ascii="微软雅黑" w:eastAsia="微软雅黑" w:hAnsi="微软雅黑" w:hint="eastAsia"/>
          <w:color w:val="3E3E3E"/>
          <w:sz w:val="25"/>
          <w:szCs w:val="25"/>
        </w:rPr>
        <w:t>晋资产</w:t>
      </w:r>
      <w:proofErr w:type="gramEnd"/>
      <w:r>
        <w:rPr>
          <w:rFonts w:ascii="微软雅黑" w:eastAsia="微软雅黑" w:hAnsi="微软雅黑" w:hint="eastAsia"/>
          <w:color w:val="3E3E3E"/>
          <w:sz w:val="25"/>
          <w:szCs w:val="25"/>
        </w:rPr>
        <w:t>被查事件的背景下，募集新</w:t>
      </w:r>
      <w:proofErr w:type="gramStart"/>
      <w:r>
        <w:rPr>
          <w:rFonts w:ascii="微软雅黑" w:eastAsia="微软雅黑" w:hAnsi="微软雅黑" w:hint="eastAsia"/>
          <w:color w:val="3E3E3E"/>
          <w:sz w:val="25"/>
          <w:szCs w:val="25"/>
        </w:rPr>
        <w:t>规</w:t>
      </w:r>
      <w:proofErr w:type="gramEnd"/>
      <w:r>
        <w:rPr>
          <w:rFonts w:ascii="微软雅黑" w:eastAsia="微软雅黑" w:hAnsi="微软雅黑" w:hint="eastAsia"/>
          <w:color w:val="3E3E3E"/>
          <w:sz w:val="25"/>
          <w:szCs w:val="25"/>
        </w:rPr>
        <w:t>的实施无疑会在短期内快速规范私募基金非法集资、违规募集等乱象，同时私募基金销售机构也将面临大规模洗牌。</w:t>
      </w:r>
    </w:p>
    <w:p w:rsid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p>
    <w:p w:rsidR="003562E9" w:rsidRPr="00097E59" w:rsidRDefault="003562E9" w:rsidP="00097E59">
      <w:pPr>
        <w:widowControl/>
        <w:spacing w:before="100" w:beforeAutospacing="1" w:after="100" w:afterAutospacing="1" w:line="407" w:lineRule="atLeast"/>
        <w:ind w:leftChars="0" w:left="0" w:rightChars="0" w:right="0" w:firstLineChars="0" w:firstLine="480"/>
        <w:jc w:val="center"/>
        <w:rPr>
          <w:rFonts w:ascii="微软雅黑" w:eastAsia="微软雅黑" w:hAnsi="微软雅黑" w:cs="宋体"/>
          <w:b/>
          <w:bCs/>
          <w:color w:val="333333"/>
          <w:kern w:val="0"/>
          <w:sz w:val="30"/>
          <w:szCs w:val="30"/>
        </w:rPr>
      </w:pPr>
      <w:r w:rsidRPr="00097E59">
        <w:rPr>
          <w:rFonts w:ascii="微软雅黑" w:eastAsia="微软雅黑" w:hAnsi="微软雅黑" w:cs="宋体" w:hint="eastAsia"/>
          <w:b/>
          <w:bCs/>
          <w:color w:val="333333"/>
          <w:kern w:val="0"/>
          <w:sz w:val="30"/>
          <w:szCs w:val="30"/>
        </w:rPr>
        <w:t>e</w:t>
      </w:r>
      <w:proofErr w:type="gramStart"/>
      <w:r w:rsidRPr="00097E59">
        <w:rPr>
          <w:rFonts w:ascii="微软雅黑" w:eastAsia="微软雅黑" w:hAnsi="微软雅黑" w:cs="宋体" w:hint="eastAsia"/>
          <w:b/>
          <w:bCs/>
          <w:color w:val="333333"/>
          <w:kern w:val="0"/>
          <w:sz w:val="30"/>
          <w:szCs w:val="30"/>
        </w:rPr>
        <w:t>租宝非法</w:t>
      </w:r>
      <w:proofErr w:type="gramEnd"/>
      <w:r w:rsidRPr="00097E59">
        <w:rPr>
          <w:rFonts w:ascii="微软雅黑" w:eastAsia="微软雅黑" w:hAnsi="微软雅黑" w:cs="宋体" w:hint="eastAsia"/>
          <w:b/>
          <w:bCs/>
          <w:color w:val="333333"/>
          <w:kern w:val="0"/>
          <w:sz w:val="30"/>
          <w:szCs w:val="30"/>
        </w:rPr>
        <w:t>集资真相</w:t>
      </w:r>
    </w:p>
    <w:p w:rsidR="003562E9" w:rsidRP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一年半内非法吸收资金500多亿元，受害投资人遍布全国31个省市区……1月14日，备受关注的“e租宝”平台的21名涉案人员被北</w:t>
      </w:r>
      <w:r w:rsidRPr="003562E9">
        <w:rPr>
          <w:rFonts w:ascii="微软雅黑" w:eastAsia="微软雅黑" w:hAnsi="微软雅黑" w:cs="宋体" w:hint="eastAsia"/>
          <w:color w:val="333333"/>
          <w:kern w:val="0"/>
          <w:sz w:val="25"/>
          <w:szCs w:val="25"/>
        </w:rPr>
        <w:lastRenderedPageBreak/>
        <w:t>京检察机 关批准逮捕。其中，“e租宝”平台实际控制人、</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 xml:space="preserve">诚集团董事会执行局主席丁宁，涉嫌集资诈骗、非法吸收公众存款、非法持有枪支罪及其他犯罪。此外，与此案相关的一批犯罪嫌疑人也被各地检察机关批准逮捕。 </w:t>
      </w:r>
    </w:p>
    <w:p w:rsidR="003562E9" w:rsidRP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这个曾风靡全国的网络平台真相究竟如何？</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w:t>
      </w:r>
      <w:proofErr w:type="gramStart"/>
      <w:r w:rsidRPr="003562E9">
        <w:rPr>
          <w:rFonts w:ascii="微软雅黑" w:eastAsia="微软雅黑" w:hAnsi="微软雅黑" w:cs="宋体" w:hint="eastAsia"/>
          <w:color w:val="333333"/>
          <w:kern w:val="0"/>
          <w:sz w:val="25"/>
          <w:szCs w:val="25"/>
        </w:rPr>
        <w:t>一众高</w:t>
      </w:r>
      <w:proofErr w:type="gramEnd"/>
      <w:r w:rsidRPr="003562E9">
        <w:rPr>
          <w:rFonts w:ascii="微软雅黑" w:eastAsia="微软雅黑" w:hAnsi="微软雅黑" w:cs="宋体" w:hint="eastAsia"/>
          <w:color w:val="333333"/>
          <w:kern w:val="0"/>
          <w:sz w:val="25"/>
          <w:szCs w:val="25"/>
        </w:rPr>
        <w:t>管头顶种种“光环”之下隐藏着怎样的黑幕？“新华视点”记者日前经有关部门批准，对办案民警、主要犯罪嫌疑人和受害企业进行了深入采访，还原了</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诚集团及其关联公司(以下简称“钰诚系”)利用“e租宝”非法集资的犯罪轨迹。</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打着“网络金融”旗号非法集资500多亿</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“e租宝”是“钰诚系”下属的金易融(北京)网络科技有限公司运营的网络平台。2014年2月，</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诚集团收购了这家公司，并对其运营的网络平台进行改造。2014年7月，</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诚集团将改造后的平台命名为“e租宝”，打着“网络金融”的旗号上线运营。</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办案民警介绍，2015年底，多地公安部门和金融监管部门发现“e租宝”经营存在异常，随即展开调查。</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公安机关发现，至2015年12月5日，“钰诚系”可支配流动资金持续紧张，资金链随时面临断裂危险；同时，</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诚集团已开始转移资金、</w:t>
      </w:r>
      <w:proofErr w:type="gramStart"/>
      <w:r w:rsidRPr="003562E9">
        <w:rPr>
          <w:rFonts w:ascii="微软雅黑" w:eastAsia="微软雅黑" w:hAnsi="微软雅黑" w:cs="宋体" w:hint="eastAsia"/>
          <w:color w:val="333333"/>
          <w:kern w:val="0"/>
          <w:sz w:val="25"/>
          <w:szCs w:val="25"/>
        </w:rPr>
        <w:t>销毁证</w:t>
      </w:r>
      <w:proofErr w:type="gramEnd"/>
      <w:r w:rsidRPr="003562E9">
        <w:rPr>
          <w:rFonts w:ascii="微软雅黑" w:eastAsia="微软雅黑" w:hAnsi="微软雅黑" w:cs="宋体" w:hint="eastAsia"/>
          <w:color w:val="333333"/>
          <w:kern w:val="0"/>
          <w:sz w:val="25"/>
          <w:szCs w:val="25"/>
        </w:rPr>
        <w:t xml:space="preserve"> 据，数名高管有潜逃迹象。为了避免投资人蒙受更大损失，2015年12月8日，公安部指挥各地公安机关统一行动，对丁宁等“钰诚系”主要高</w:t>
      </w:r>
      <w:proofErr w:type="gramStart"/>
      <w:r w:rsidRPr="003562E9">
        <w:rPr>
          <w:rFonts w:ascii="微软雅黑" w:eastAsia="微软雅黑" w:hAnsi="微软雅黑" w:cs="宋体" w:hint="eastAsia"/>
          <w:color w:val="333333"/>
          <w:kern w:val="0"/>
          <w:sz w:val="25"/>
          <w:szCs w:val="25"/>
        </w:rPr>
        <w:t>管实施</w:t>
      </w:r>
      <w:proofErr w:type="gramEnd"/>
      <w:r w:rsidRPr="003562E9">
        <w:rPr>
          <w:rFonts w:ascii="微软雅黑" w:eastAsia="微软雅黑" w:hAnsi="微软雅黑" w:cs="宋体" w:hint="eastAsia"/>
          <w:color w:val="333333"/>
          <w:kern w:val="0"/>
          <w:sz w:val="25"/>
          <w:szCs w:val="25"/>
        </w:rPr>
        <w:t>抓捕。</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办案民警表示，此案案情复杂，侦查难度极大。“钰诚系”的分支机构遍布全国，涉及投资人众多，且公司财务管理混乱，经营交易数据量庞大，仅需要 清查的存储公司相关数据的服务器就有200余台。为了毁灭证据，犯罪嫌疑人将1200余册证据材料装入80余个编织袋，埋藏在安徽省合肥市郊外某处6米深 的地下，专案组动用两台挖掘机，历时20余个小时才将其挖出。</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警方初步查明，“钰诚系”的顶端是在境外注册的</w:t>
      </w:r>
      <w:proofErr w:type="gramStart"/>
      <w:r w:rsidRPr="003562E9">
        <w:rPr>
          <w:rFonts w:ascii="微软雅黑" w:eastAsia="微软雅黑" w:hAnsi="微软雅黑" w:cs="宋体" w:hint="eastAsia"/>
          <w:color w:val="333333"/>
          <w:kern w:val="0"/>
          <w:sz w:val="25"/>
          <w:szCs w:val="25"/>
        </w:rPr>
        <w:t>钰诚国际</w:t>
      </w:r>
      <w:proofErr w:type="gramEnd"/>
      <w:r w:rsidRPr="003562E9">
        <w:rPr>
          <w:rFonts w:ascii="微软雅黑" w:eastAsia="微软雅黑" w:hAnsi="微软雅黑" w:cs="宋体" w:hint="eastAsia"/>
          <w:color w:val="333333"/>
          <w:kern w:val="0"/>
          <w:sz w:val="25"/>
          <w:szCs w:val="25"/>
        </w:rPr>
        <w:t>控股集团有限公司，旗下有北京、上海、蚌埠等八大运营中心，并下设融资项目、“e租宝”线上销售、“e租宝”线下销售等八大业务板块，其中大部分板块都围绕着“e租宝”的运行而设置。</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办案民警表示，从2014年7月“e租宝”上线至2015年12月被查封，“钰诚系”相关犯罪嫌疑人以高额利息为诱饵，虚构融资租赁项目，持续 采用借新还旧、自我担保等方式大量非法吸收公众资金，累计交易发生额达700多亿元。警方初步查明，“e租宝”实际吸收资金500余亿元，涉及投资人约 90万名。</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假项目、</w:t>
      </w:r>
      <w:proofErr w:type="gramStart"/>
      <w:r w:rsidRPr="003562E9">
        <w:rPr>
          <w:rFonts w:ascii="微软雅黑" w:eastAsia="微软雅黑" w:hAnsi="微软雅黑" w:cs="宋体" w:hint="eastAsia"/>
          <w:b/>
          <w:bCs/>
          <w:color w:val="333333"/>
          <w:kern w:val="0"/>
          <w:sz w:val="25"/>
        </w:rPr>
        <w:t>假三方</w:t>
      </w:r>
      <w:proofErr w:type="gramEnd"/>
      <w:r w:rsidRPr="003562E9">
        <w:rPr>
          <w:rFonts w:ascii="微软雅黑" w:eastAsia="微软雅黑" w:hAnsi="微软雅黑" w:cs="宋体" w:hint="eastAsia"/>
          <w:b/>
          <w:bCs/>
          <w:color w:val="333333"/>
          <w:kern w:val="0"/>
          <w:sz w:val="25"/>
        </w:rPr>
        <w:t>、假担保：三步障眼法制造骗局</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“‘e租宝’就是一个彻头彻尾的庞氏骗局。”在看守所，昔日的</w:t>
      </w:r>
      <w:proofErr w:type="gramStart"/>
      <w:r w:rsidRPr="003562E9">
        <w:rPr>
          <w:rFonts w:ascii="微软雅黑" w:eastAsia="微软雅黑" w:hAnsi="微软雅黑" w:cs="宋体" w:hint="eastAsia"/>
          <w:color w:val="333333"/>
          <w:kern w:val="0"/>
          <w:sz w:val="25"/>
          <w:szCs w:val="25"/>
        </w:rPr>
        <w:t>钰诚国际</w:t>
      </w:r>
      <w:proofErr w:type="gramEnd"/>
      <w:r w:rsidRPr="003562E9">
        <w:rPr>
          <w:rFonts w:ascii="微软雅黑" w:eastAsia="微软雅黑" w:hAnsi="微软雅黑" w:cs="宋体" w:hint="eastAsia"/>
          <w:color w:val="333333"/>
          <w:kern w:val="0"/>
          <w:sz w:val="25"/>
          <w:szCs w:val="25"/>
        </w:rPr>
        <w:t>控股集团总裁张敏说，对于“e租宝”占用投资人的资金的事，公司高管都很清楚，她现在对此非常忏悔。</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e租宝”对外宣称，其经营模式是由集团下属的融资租赁公司与项目公司签订协议，然后在“e租宝”平台上以债权转让的形式发标融资；融到资金后，项目公司向租赁公司支付租金，租赁公司则向投资人支付收益和本金。</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办案民警介绍，在正常情况下，融资租赁公司赚取项目利差，而平台赚取中介费；然而，“e租宝”从一开始就是一场“空手套白狼”的骗局，其所谓的融资租赁项目根本名不副实。</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“我们虚构融资项目，把钱转给承租人，并给承租人好处费，再把资金转入我们公司的关联公司，以达到事实挪用的目的。”丁宁说，他们前后为此花了8亿多元向项目公司和中间人买资料。</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采访中，“钰诚系”多位高管都向记者证实了自己公司用收买企业或者注册空壳公司等方式在“e租宝”平台上虚构项目的事实。</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“据我所知，‘e租宝’上95%的项目都是假的。”安徽</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诚融资租赁有限公司风险控制部总监</w:t>
      </w:r>
      <w:proofErr w:type="gramStart"/>
      <w:r w:rsidRPr="003562E9">
        <w:rPr>
          <w:rFonts w:ascii="微软雅黑" w:eastAsia="微软雅黑" w:hAnsi="微软雅黑" w:cs="宋体" w:hint="eastAsia"/>
          <w:color w:val="333333"/>
          <w:kern w:val="0"/>
          <w:sz w:val="25"/>
          <w:szCs w:val="25"/>
        </w:rPr>
        <w:t>雍磊</w:t>
      </w:r>
      <w:proofErr w:type="gramEnd"/>
      <w:r w:rsidRPr="003562E9">
        <w:rPr>
          <w:rFonts w:ascii="微软雅黑" w:eastAsia="微软雅黑" w:hAnsi="微软雅黑" w:cs="宋体" w:hint="eastAsia"/>
          <w:color w:val="333333"/>
          <w:kern w:val="0"/>
          <w:sz w:val="25"/>
          <w:szCs w:val="25"/>
        </w:rPr>
        <w:t>称，丁宁指使专人，用融资金额的1.5%－2 %向企业买来信息，他所在的部门就负责把这些企业信息填入准备好的合同里，制成虚假的项目在“e租宝”平台上线。为了让投资人增强投资信心，他们还采用了 更改企业注册金等方式包装项目。</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办案民警介绍，在目前警方已查证的207家承租公司中，只有1家与</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诚租赁发生了真实的业务。</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有部分涉案企业甚至直到案发都被蒙在鼓里。安徽省蚌埠市某企业负责人王先生告诉记者，他的公司曾通过</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诚集团旗下的担保公司向银行贷过款，对方 因此掌握了公司的营业执照、税务登记证等资料；但直到2015年底他的企业银行账户被冻结后，他才从公安机关处得知自己的公司被“e租宝”冒名挂到网上融资。“他们的做法太恶劣了，我希望公安机关严惩这种行为，还我们一个清白。”王先生气愤地说。</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根据人民银行等部门出台的《关于促进互联网金融健康发展的指导意见》，网络平台只进行信息中介服务，不能自</w:t>
      </w:r>
      <w:proofErr w:type="gramStart"/>
      <w:r w:rsidRPr="003562E9">
        <w:rPr>
          <w:rFonts w:ascii="微软雅黑" w:eastAsia="微软雅黑" w:hAnsi="微软雅黑" w:cs="宋体" w:hint="eastAsia"/>
          <w:color w:val="333333"/>
          <w:kern w:val="0"/>
          <w:sz w:val="25"/>
          <w:szCs w:val="25"/>
        </w:rPr>
        <w:t>设资金池</w:t>
      </w:r>
      <w:proofErr w:type="gramEnd"/>
      <w:r w:rsidRPr="003562E9">
        <w:rPr>
          <w:rFonts w:ascii="微软雅黑" w:eastAsia="微软雅黑" w:hAnsi="微软雅黑" w:cs="宋体" w:hint="eastAsia"/>
          <w:color w:val="333333"/>
          <w:kern w:val="0"/>
          <w:sz w:val="25"/>
          <w:szCs w:val="25"/>
        </w:rPr>
        <w:t>，不提供信用担保。据警方调查，“e租宝”将吸收来的资金以“借道”第三方支付平台的形式进入自设的资金池，相当于把资金从“左口袋”放到了“右口袋”。</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不仅如此，</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诚集团还直接控制了3家担保公司和</w:t>
      </w:r>
      <w:proofErr w:type="gramStart"/>
      <w:r w:rsidRPr="003562E9">
        <w:rPr>
          <w:rFonts w:ascii="微软雅黑" w:eastAsia="微软雅黑" w:hAnsi="微软雅黑" w:cs="宋体" w:hint="eastAsia"/>
          <w:color w:val="333333"/>
          <w:kern w:val="0"/>
          <w:sz w:val="25"/>
          <w:szCs w:val="25"/>
        </w:rPr>
        <w:t>一家保理公司</w:t>
      </w:r>
      <w:proofErr w:type="gramEnd"/>
      <w:r w:rsidRPr="003562E9">
        <w:rPr>
          <w:rFonts w:ascii="微软雅黑" w:eastAsia="微软雅黑" w:hAnsi="微软雅黑" w:cs="宋体" w:hint="eastAsia"/>
          <w:color w:val="333333"/>
          <w:kern w:val="0"/>
          <w:sz w:val="25"/>
          <w:szCs w:val="25"/>
        </w:rPr>
        <w:t>，为“e租宝”的项目担保。中国政法</w:t>
      </w:r>
      <w:proofErr w:type="gramStart"/>
      <w:r w:rsidRPr="003562E9">
        <w:rPr>
          <w:rFonts w:ascii="微软雅黑" w:eastAsia="微软雅黑" w:hAnsi="微软雅黑" w:cs="宋体" w:hint="eastAsia"/>
          <w:color w:val="333333"/>
          <w:kern w:val="0"/>
          <w:sz w:val="25"/>
          <w:szCs w:val="25"/>
        </w:rPr>
        <w:t>大学民商经济</w:t>
      </w:r>
      <w:proofErr w:type="gramEnd"/>
      <w:r w:rsidRPr="003562E9">
        <w:rPr>
          <w:rFonts w:ascii="微软雅黑" w:eastAsia="微软雅黑" w:hAnsi="微软雅黑" w:cs="宋体" w:hint="eastAsia"/>
          <w:color w:val="333333"/>
          <w:kern w:val="0"/>
          <w:sz w:val="25"/>
          <w:szCs w:val="25"/>
        </w:rPr>
        <w:t>法学院教授李爱君表示，如果平台引入有关联关系的担保机构，将给债权人带来极大风险。</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“高收益低风险”的承诺陷阱</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“1元起投，随时赎回，高收益低风险。”这是“e租宝”广为宣传的口号。许多投资人表示，他们就是听信了“e租宝”保本保息、灵活支取的承诺才 上当受骗的。记者了解到，“e租宝”共推出过6款产品，</w:t>
      </w:r>
      <w:proofErr w:type="gramStart"/>
      <w:r w:rsidRPr="003562E9">
        <w:rPr>
          <w:rFonts w:ascii="微软雅黑" w:eastAsia="微软雅黑" w:hAnsi="微软雅黑" w:cs="宋体" w:hint="eastAsia"/>
          <w:color w:val="333333"/>
          <w:kern w:val="0"/>
          <w:sz w:val="25"/>
          <w:szCs w:val="25"/>
        </w:rPr>
        <w:t>预期年化收益率</w:t>
      </w:r>
      <w:proofErr w:type="gramEnd"/>
      <w:r w:rsidRPr="003562E9">
        <w:rPr>
          <w:rFonts w:ascii="微软雅黑" w:eastAsia="微软雅黑" w:hAnsi="微软雅黑" w:cs="宋体" w:hint="eastAsia"/>
          <w:color w:val="333333"/>
          <w:kern w:val="0"/>
          <w:sz w:val="25"/>
          <w:szCs w:val="25"/>
        </w:rPr>
        <w:t>在9%至14.6%之间，远高于一般银行理财产品的收益率。</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投资人张先生表示，“e租宝”的推销人员鼓动他说，“e租宝”产品保本保息，哪怕投资的公司失败了，钱还是照样有。</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投资人徐先生给记者算了一笔账：“我拿10万块钱比较的话，在银行放一年才赚2000多块钱；放在‘e租宝’那边的话，它承诺的利率是14.6%，放一年就能赚14000多块钱。”</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投资人席女士则称，自己是被“e租宝”可以灵活支取的特点吸引了：“一般的理财产品不能提前支取，但‘e租宝’提前10天也可以拿出来。”</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对此，李爱君表示，最高法在2010年出台的关于非法集资犯罪的司法解释里明确，不能用承诺回报引诱投资者。实际上，由于金融行业天然的风险性，承诺保本保息本身就违背客观规律。银监会更是明确要求，各商业银行在销售理财产品时必须进行风险提示。</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但是，“e租宝”抓住了部分老百姓对金融知识了解不多的弱点，用虚假的承诺编织了一个 “陷阱”。为了加快扩张速度，</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诚集团还在各地设立了大量分公司和代销公司，直接面对老百姓“贴身推销”。其地推人员除了推荐“e租宝”的产品外，甚至还 会“热心”地为他们提供</w:t>
      </w:r>
      <w:proofErr w:type="gramStart"/>
      <w:r w:rsidRPr="003562E9">
        <w:rPr>
          <w:rFonts w:ascii="微软雅黑" w:eastAsia="微软雅黑" w:hAnsi="微软雅黑" w:cs="宋体" w:hint="eastAsia"/>
          <w:color w:val="333333"/>
          <w:kern w:val="0"/>
          <w:sz w:val="25"/>
          <w:szCs w:val="25"/>
        </w:rPr>
        <w:t>开通网银</w:t>
      </w:r>
      <w:proofErr w:type="gramEnd"/>
      <w:r w:rsidRPr="003562E9">
        <w:rPr>
          <w:rFonts w:ascii="微软雅黑" w:eastAsia="微软雅黑" w:hAnsi="微软雅黑" w:cs="宋体" w:hint="eastAsia"/>
          <w:color w:val="333333"/>
          <w:kern w:val="0"/>
          <w:sz w:val="25"/>
          <w:szCs w:val="25"/>
        </w:rPr>
        <w:t>、注册平台等服务。正是在这种强大攻势下，“e租宝”仅用一年半时间，就吸引来90多万实际投资人，客户遍布全国。</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非法吸取的巨额资金被</w:t>
      </w:r>
      <w:proofErr w:type="gramStart"/>
      <w:r w:rsidRPr="003562E9">
        <w:rPr>
          <w:rFonts w:ascii="微软雅黑" w:eastAsia="微软雅黑" w:hAnsi="微软雅黑" w:cs="宋体" w:hint="eastAsia"/>
          <w:b/>
          <w:bCs/>
          <w:color w:val="333333"/>
          <w:kern w:val="0"/>
          <w:sz w:val="25"/>
        </w:rPr>
        <w:t>钰</w:t>
      </w:r>
      <w:proofErr w:type="gramEnd"/>
      <w:r w:rsidRPr="003562E9">
        <w:rPr>
          <w:rFonts w:ascii="微软雅黑" w:eastAsia="微软雅黑" w:hAnsi="微软雅黑" w:cs="宋体" w:hint="eastAsia"/>
          <w:b/>
          <w:bCs/>
          <w:color w:val="333333"/>
          <w:kern w:val="0"/>
          <w:sz w:val="25"/>
        </w:rPr>
        <w:t>诚集团自用</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据警方调查，“钰诚系”除了将一部分吸取的资金用于还本付息外，相当一部分被用于个人挥霍、维持公司的巨额运行成本、投资不良债权以及广告炒作。</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据多个犯罪嫌疑人供述，丁宁与数名集团女高管关系密切，其私生活极其奢侈，大肆挥霍吸来的资金。警方初步查明，丁宁赠与他人的现金、房产、车 辆、奢侈品的价值达10余亿元。仅对张敏一人，丁宁除了向其赠送价值1.3亿的新加坡别墅、价值1200万的粉钻戒指、豪华轿车、名表等礼物，还先后“奖 励”她5.5亿元人民币。</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“钰诚系”的一大开支还来自高昂的员工薪金。以丁宁的弟弟丁</w:t>
      </w:r>
      <w:proofErr w:type="gramStart"/>
      <w:r w:rsidRPr="003562E9">
        <w:rPr>
          <w:rFonts w:ascii="微软雅黑" w:eastAsia="微软雅黑" w:hAnsi="微软雅黑" w:cs="宋体" w:hint="eastAsia"/>
          <w:color w:val="333333"/>
          <w:kern w:val="0"/>
          <w:sz w:val="25"/>
          <w:szCs w:val="25"/>
        </w:rPr>
        <w:t>甸</w:t>
      </w:r>
      <w:proofErr w:type="gramEnd"/>
      <w:r w:rsidRPr="003562E9">
        <w:rPr>
          <w:rFonts w:ascii="微软雅黑" w:eastAsia="微软雅黑" w:hAnsi="微软雅黑" w:cs="宋体" w:hint="eastAsia"/>
          <w:color w:val="333333"/>
          <w:kern w:val="0"/>
          <w:sz w:val="25"/>
          <w:szCs w:val="25"/>
        </w:rPr>
        <w:t>为例，他原本月薪1.8万元，但调任北京后，月薪就飞涨到100万元。据张敏交代，整个集团拿着百万级年薪的高管多达80人左右，仅2015年11月，</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诚集团需发给员工的工资就有8亿元。</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多位公司高管称，为了给公众留下“财大气粗”的印象，丁宁要求办公室几十个秘书全身穿戴奢侈品牌的制服和首饰“展示公司形象”，甚至一次就把一个奢侈品店全部买空。</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不仅如此，2014年以来，“钰诚系”先后花费上亿元大量投放广告进行“病毒式营销”，还将张敏包装成“互联网金融第一美女总裁”，作为企业形象代言人公开出席各种活动。</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公司的花销在水涨船高，资金回笼的压力也越来越大。</w:t>
      </w:r>
      <w:proofErr w:type="gramStart"/>
      <w:r w:rsidRPr="003562E9">
        <w:rPr>
          <w:rFonts w:ascii="微软雅黑" w:eastAsia="微软雅黑" w:hAnsi="微软雅黑" w:cs="宋体" w:hint="eastAsia"/>
          <w:color w:val="333333"/>
          <w:kern w:val="0"/>
          <w:sz w:val="25"/>
          <w:szCs w:val="25"/>
        </w:rPr>
        <w:t>雍磊</w:t>
      </w:r>
      <w:proofErr w:type="gramEnd"/>
      <w:r w:rsidRPr="003562E9">
        <w:rPr>
          <w:rFonts w:ascii="微软雅黑" w:eastAsia="微软雅黑" w:hAnsi="微软雅黑" w:cs="宋体" w:hint="eastAsia"/>
          <w:color w:val="333333"/>
          <w:kern w:val="0"/>
          <w:sz w:val="25"/>
          <w:szCs w:val="25"/>
        </w:rPr>
        <w:t>说，“e租宝”只要一天没有新项目上线，丁宁就会立刻催问。</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实际上，“钰诚系”的高管们对公司的实际状况都心知肚明。“‘e租宝’的窟窿只会越滚越大，然后在某个点集中爆发，账上没钱还给老客户，也不能 还给新客户。”张敏说，自己曾在2015年9月让公司的数据中心进</w:t>
      </w:r>
      <w:r w:rsidRPr="003562E9">
        <w:rPr>
          <w:rFonts w:ascii="微软雅黑" w:eastAsia="微软雅黑" w:hAnsi="微软雅黑" w:cs="宋体" w:hint="eastAsia"/>
          <w:color w:val="333333"/>
          <w:kern w:val="0"/>
          <w:sz w:val="25"/>
          <w:szCs w:val="25"/>
        </w:rPr>
        <w:lastRenderedPageBreak/>
        <w:t>行测算，结果显示，“e租宝”的赎回量将在2016年1月达到9亿，此后赎回量逐月递 增。</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这个预测，与公安机关此前的分析结果非常吻合。</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丁宁坦言，</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诚集团旗下仅有</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诚租赁、</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诚五金和</w:t>
      </w:r>
      <w:proofErr w:type="gramStart"/>
      <w:r w:rsidRPr="003562E9">
        <w:rPr>
          <w:rFonts w:ascii="微软雅黑" w:eastAsia="微软雅黑" w:hAnsi="微软雅黑" w:cs="宋体" w:hint="eastAsia"/>
          <w:color w:val="333333"/>
          <w:kern w:val="0"/>
          <w:sz w:val="25"/>
          <w:szCs w:val="25"/>
        </w:rPr>
        <w:t>钰</w:t>
      </w:r>
      <w:proofErr w:type="gramEnd"/>
      <w:r w:rsidRPr="003562E9">
        <w:rPr>
          <w:rFonts w:ascii="微软雅黑" w:eastAsia="微软雅黑" w:hAnsi="微软雅黑" w:cs="宋体" w:hint="eastAsia"/>
          <w:color w:val="333333"/>
          <w:kern w:val="0"/>
          <w:sz w:val="25"/>
          <w:szCs w:val="25"/>
        </w:rPr>
        <w:t>诚新材料三家公司能产生实际的经营利润，但三家企业的总收入不足8亿，利润尚不足一亿。因此，除了靠疯狂占用“e租宝”吸收来的资金，“钰诚系”的正常收入根本不足以覆盖其庞大的开支。</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“e租宝”涉嫌非法集资犯罪</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根据“e租宝”案件中已经查明的种种犯罪事实，司法机关认为，犯罪嫌疑人的这些行为已经涉嫌非法吸收公众存款和集资诈骗。</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中央财经大学法学院教授郭华介绍，非法吸收公众存款罪有4个构成要件：第一是未经有关部门批准或者假借合法的经营形式来吸存，第二是以媒介、短 信、推荐会等形式公开吸存，第三是通过私募、股权等其他的手段来承诺还本付息或者回报，第四是向社会公众即不特定的人吸存。在本案中，犯罪嫌疑人利用网络 平台公开向全国吸存，还对外承诺还本付息，其行为已经涉嫌非法吸收公众存款罪。</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“对于已经构成非法吸收公众存款罪的，如果还存在挥霍性投资或者消耗性支出导致财产不能偿还的情形，就构成了集资诈骗罪。”他认为，“e租宝” 案的犯罪嫌疑人投资高档车辆和住宅、向员工支付高工资等挥霍行为，</w:t>
      </w:r>
      <w:r w:rsidRPr="003562E9">
        <w:rPr>
          <w:rFonts w:ascii="微软雅黑" w:eastAsia="微软雅黑" w:hAnsi="微软雅黑" w:cs="宋体" w:hint="eastAsia"/>
          <w:color w:val="333333"/>
          <w:kern w:val="0"/>
          <w:sz w:val="25"/>
          <w:szCs w:val="25"/>
        </w:rPr>
        <w:lastRenderedPageBreak/>
        <w:t>体现了他们主观上非法占有投资者资金的目的，这是导致吸收来的资金不能偿还的重要原因之一，也是他们涉嫌集资诈骗罪的主要原因之一。</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李爱君则指出，金融是一种以高风险为特征的行业，因此老百姓在投资前更需要掌握一定的金融知识，知道任何投资行为都要风险自担；而如果投资者参与的金融活动涉嫌违法犯罪，就将承担更大的风险。</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最新进展：有关部门正在加紧取证追赃挽损</w:t>
      </w:r>
    </w:p>
    <w:p w:rsidR="003562E9" w:rsidRP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办案民警介绍，由于“钰诚系”的资金交易庞杂，财务管理混乱，其资金流向还在调查之中。目前，公安机关正在与银监会、人民银行等部门通力配合， 加快工作进度，全力以赴进行调查取证、追赃、甄别涉案资产等工作，最大限度地挽回投资人的损失。为了便于投资人报案、完善案件处置相关信息，公安机关已经 搭建起投资人信息登记平台，并将于近期挂接在公安部官方网站上启用。</w:t>
      </w:r>
    </w:p>
    <w:p w:rsid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有关部门表示，投资人应及时、主动报案、登记信息、提供证明材料，避免因不及时、</w:t>
      </w:r>
      <w:proofErr w:type="gramStart"/>
      <w:r w:rsidRPr="003562E9">
        <w:rPr>
          <w:rFonts w:ascii="微软雅黑" w:eastAsia="微软雅黑" w:hAnsi="微软雅黑" w:cs="宋体" w:hint="eastAsia"/>
          <w:color w:val="333333"/>
          <w:kern w:val="0"/>
          <w:sz w:val="25"/>
          <w:szCs w:val="25"/>
        </w:rPr>
        <w:t>不</w:t>
      </w:r>
      <w:proofErr w:type="gramEnd"/>
      <w:r w:rsidRPr="003562E9">
        <w:rPr>
          <w:rFonts w:ascii="微软雅黑" w:eastAsia="微软雅黑" w:hAnsi="微软雅黑" w:cs="宋体" w:hint="eastAsia"/>
          <w:color w:val="333333"/>
          <w:kern w:val="0"/>
          <w:sz w:val="25"/>
          <w:szCs w:val="25"/>
        </w:rPr>
        <w:t>如实报案、登记而损害自身合法利益；同时，请投资人依法维权，不信谣、不传谣、不受蛊惑，不组织、参与各类非法活动。涉嫌犯罪的人员，应当积极配合调查、退缴违法所得，争取从宽处理。</w:t>
      </w:r>
    </w:p>
    <w:p w:rsidR="006D7600" w:rsidRDefault="006D7600"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p>
    <w:p w:rsidR="006D7600" w:rsidRPr="003562E9" w:rsidRDefault="006D7600"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p>
    <w:p w:rsidR="006D7600" w:rsidRPr="006D7600" w:rsidRDefault="006D7600" w:rsidP="006D7600">
      <w:pPr>
        <w:widowControl/>
        <w:spacing w:before="100" w:beforeAutospacing="1" w:after="100" w:afterAutospacing="1" w:line="407" w:lineRule="atLeast"/>
        <w:ind w:leftChars="0" w:left="0" w:rightChars="0" w:right="0" w:firstLineChars="0" w:firstLine="480"/>
        <w:rPr>
          <w:rFonts w:ascii="微软雅黑" w:eastAsia="微软雅黑" w:hAnsi="微软雅黑" w:cs="宋体"/>
          <w:b/>
          <w:bCs/>
          <w:color w:val="333333"/>
          <w:kern w:val="0"/>
          <w:sz w:val="30"/>
          <w:szCs w:val="30"/>
        </w:rPr>
      </w:pPr>
      <w:r w:rsidRPr="006D7600">
        <w:rPr>
          <w:rFonts w:ascii="微软雅黑" w:eastAsia="微软雅黑" w:hAnsi="微软雅黑" w:cs="宋体" w:hint="eastAsia"/>
          <w:b/>
          <w:bCs/>
          <w:color w:val="333333"/>
          <w:kern w:val="0"/>
          <w:sz w:val="30"/>
          <w:szCs w:val="30"/>
        </w:rPr>
        <w:lastRenderedPageBreak/>
        <w:t>泛亚有色金属交易所400亿赎回危机是如何爆发的？</w:t>
      </w:r>
    </w:p>
    <w:p w:rsidR="00506E55" w:rsidRPr="00506E55" w:rsidRDefault="00506E55" w:rsidP="00506E55">
      <w:pPr>
        <w:widowControl/>
        <w:spacing w:before="100" w:beforeAutospacing="1" w:after="375" w:line="360" w:lineRule="atLeast"/>
        <w:ind w:leftChars="0" w:left="315" w:rightChars="0" w:right="315" w:firstLineChars="0" w:firstLine="420"/>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近日，一条有关</w:t>
      </w:r>
      <w:hyperlink r:id="rId6" w:tgtFrame="_blank" w:history="1">
        <w:r w:rsidRPr="00506E55">
          <w:rPr>
            <w:rFonts w:ascii="微软雅黑" w:eastAsia="微软雅黑" w:hAnsi="微软雅黑" w:cs="宋体" w:hint="eastAsia"/>
            <w:color w:val="333333"/>
            <w:kern w:val="0"/>
            <w:sz w:val="25"/>
            <w:szCs w:val="25"/>
          </w:rPr>
          <w:t>昆明</w:t>
        </w:r>
      </w:hyperlink>
      <w:r w:rsidRPr="00506E55">
        <w:rPr>
          <w:rFonts w:ascii="微软雅黑" w:eastAsia="微软雅黑" w:hAnsi="微软雅黑" w:cs="宋体" w:hint="eastAsia"/>
          <w:color w:val="333333"/>
          <w:kern w:val="0"/>
          <w:sz w:val="25"/>
          <w:szCs w:val="25"/>
        </w:rPr>
        <w:t>泛亚有色金属交易所旗下</w:t>
      </w:r>
      <w:hyperlink r:id="rId7" w:tgtFrame="_blank" w:history="1">
        <w:r w:rsidRPr="00506E55">
          <w:rPr>
            <w:rFonts w:ascii="微软雅黑" w:eastAsia="微软雅黑" w:hAnsi="微软雅黑" w:cs="宋体" w:hint="eastAsia"/>
            <w:color w:val="333333"/>
            <w:kern w:val="0"/>
            <w:sz w:val="25"/>
            <w:szCs w:val="25"/>
          </w:rPr>
          <w:t>金融</w:t>
        </w:r>
      </w:hyperlink>
      <w:r w:rsidRPr="00506E55">
        <w:rPr>
          <w:rFonts w:ascii="微软雅黑" w:eastAsia="微软雅黑" w:hAnsi="微软雅黑" w:cs="宋体" w:hint="eastAsia"/>
          <w:color w:val="333333"/>
          <w:kern w:val="0"/>
          <w:sz w:val="25"/>
          <w:szCs w:val="25"/>
        </w:rPr>
        <w:t>产品日金宝的消息引爆金融圈。</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据网友爆料：</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昆明泛亚有色金属交易所，昨晚被来自全国各地的</w:t>
      </w:r>
      <w:r w:rsidRPr="00506E55">
        <w:rPr>
          <w:rFonts w:ascii="微软雅黑" w:eastAsia="微软雅黑" w:hAnsi="微软雅黑" w:cs="宋体"/>
          <w:color w:val="333333"/>
          <w:kern w:val="0"/>
          <w:sz w:val="25"/>
          <w:szCs w:val="25"/>
        </w:rPr>
        <w:t>800</w:t>
      </w:r>
      <w:r w:rsidRPr="00506E55">
        <w:rPr>
          <w:rFonts w:ascii="微软雅黑" w:eastAsia="微软雅黑" w:hAnsi="微软雅黑" w:cs="宋体" w:hint="eastAsia"/>
          <w:color w:val="333333"/>
          <w:kern w:val="0"/>
          <w:sz w:val="25"/>
          <w:szCs w:val="25"/>
        </w:rPr>
        <w:t>多位心急如焚的投资者包围。泛亚交易所资金链断裂，涉及全国</w:t>
      </w:r>
      <w:r w:rsidRPr="00506E55">
        <w:rPr>
          <w:rFonts w:ascii="微软雅黑" w:eastAsia="微软雅黑" w:hAnsi="微软雅黑" w:cs="宋体"/>
          <w:color w:val="333333"/>
          <w:kern w:val="0"/>
          <w:sz w:val="25"/>
          <w:szCs w:val="25"/>
        </w:rPr>
        <w:t>20</w:t>
      </w:r>
      <w:r w:rsidRPr="00506E55">
        <w:rPr>
          <w:rFonts w:ascii="微软雅黑" w:eastAsia="微软雅黑" w:hAnsi="微软雅黑" w:cs="宋体" w:hint="eastAsia"/>
          <w:color w:val="333333"/>
          <w:kern w:val="0"/>
          <w:sz w:val="25"/>
          <w:szCs w:val="25"/>
        </w:rPr>
        <w:t>个省份，</w:t>
      </w:r>
      <w:r w:rsidRPr="00506E55">
        <w:rPr>
          <w:rFonts w:ascii="微软雅黑" w:eastAsia="微软雅黑" w:hAnsi="微软雅黑" w:cs="宋体"/>
          <w:color w:val="333333"/>
          <w:kern w:val="0"/>
          <w:sz w:val="25"/>
          <w:szCs w:val="25"/>
        </w:rPr>
        <w:t>22</w:t>
      </w:r>
      <w:r w:rsidRPr="00506E55">
        <w:rPr>
          <w:rFonts w:ascii="微软雅黑" w:eastAsia="微软雅黑" w:hAnsi="微软雅黑" w:cs="宋体" w:hint="eastAsia"/>
          <w:color w:val="333333"/>
          <w:kern w:val="0"/>
          <w:sz w:val="25"/>
          <w:szCs w:val="25"/>
        </w:rPr>
        <w:t>万投资者，总金额达</w:t>
      </w:r>
      <w:r w:rsidRPr="00506E55">
        <w:rPr>
          <w:rFonts w:ascii="微软雅黑" w:eastAsia="微软雅黑" w:hAnsi="微软雅黑" w:cs="宋体"/>
          <w:color w:val="333333"/>
          <w:kern w:val="0"/>
          <w:sz w:val="25"/>
          <w:szCs w:val="25"/>
        </w:rPr>
        <w:t>400</w:t>
      </w:r>
      <w:r w:rsidRPr="00506E55">
        <w:rPr>
          <w:rFonts w:ascii="微软雅黑" w:eastAsia="微软雅黑" w:hAnsi="微软雅黑" w:cs="宋体" w:hint="eastAsia"/>
          <w:color w:val="333333"/>
          <w:kern w:val="0"/>
          <w:sz w:val="25"/>
          <w:szCs w:val="25"/>
        </w:rPr>
        <w:t>亿元。</w:t>
      </w:r>
      <w:r w:rsidRPr="00506E55">
        <w:rPr>
          <w:rFonts w:ascii="微软雅黑" w:eastAsia="微软雅黑" w:hAnsi="微软雅黑" w:cs="宋体"/>
          <w:color w:val="333333"/>
          <w:kern w:val="0"/>
          <w:sz w:val="25"/>
          <w:szCs w:val="25"/>
        </w:rPr>
        <w:t>”</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color w:val="333333"/>
          <w:kern w:val="0"/>
          <w:sz w:val="25"/>
          <w:szCs w:val="25"/>
        </w:rPr>
        <w:t>7</w:t>
      </w:r>
      <w:r w:rsidRPr="00506E55">
        <w:rPr>
          <w:rFonts w:ascii="微软雅黑" w:eastAsia="微软雅黑" w:hAnsi="微软雅黑" w:cs="宋体" w:hint="eastAsia"/>
          <w:color w:val="333333"/>
          <w:kern w:val="0"/>
          <w:sz w:val="25"/>
          <w:szCs w:val="25"/>
        </w:rPr>
        <w:t>月</w:t>
      </w:r>
      <w:r w:rsidRPr="00506E55">
        <w:rPr>
          <w:rFonts w:ascii="微软雅黑" w:eastAsia="微软雅黑" w:hAnsi="微软雅黑" w:cs="宋体"/>
          <w:color w:val="333333"/>
          <w:kern w:val="0"/>
          <w:sz w:val="25"/>
          <w:szCs w:val="25"/>
        </w:rPr>
        <w:t>15</w:t>
      </w:r>
      <w:r w:rsidRPr="00506E55">
        <w:rPr>
          <w:rFonts w:ascii="微软雅黑" w:eastAsia="微软雅黑" w:hAnsi="微软雅黑" w:cs="宋体" w:hint="eastAsia"/>
          <w:color w:val="333333"/>
          <w:kern w:val="0"/>
          <w:sz w:val="25"/>
          <w:szCs w:val="25"/>
        </w:rPr>
        <w:t>日，泛亚有色金属交易所在其官网发布公告，承认部分产品出现集中赎回的情况。</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泛亚表示</w:t>
      </w:r>
      <w:r w:rsidRPr="00506E55">
        <w:rPr>
          <w:rFonts w:ascii="微软雅黑" w:eastAsia="微软雅黑" w:hAnsi="微软雅黑" w:cs="宋体"/>
          <w:color w:val="333333"/>
          <w:kern w:val="0"/>
          <w:sz w:val="25"/>
          <w:szCs w:val="25"/>
        </w:rPr>
        <w:t>“ 2015</w:t>
      </w:r>
      <w:r w:rsidRPr="00506E55">
        <w:rPr>
          <w:rFonts w:ascii="微软雅黑" w:eastAsia="微软雅黑" w:hAnsi="微软雅黑" w:cs="宋体" w:hint="eastAsia"/>
          <w:color w:val="333333"/>
          <w:kern w:val="0"/>
          <w:sz w:val="25"/>
          <w:szCs w:val="25"/>
        </w:rPr>
        <w:t>年，受宏观经济因素和政策层面的多重影响，泛亚有色金属交易所委托受托交易商近日出现了资金赎回困难，在委托受托业务合同期限内，部分受托资金出现了集中赎回情况。</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这次赎回危机如何产生暂且不表，先来</w:t>
      </w:r>
      <w:proofErr w:type="gramStart"/>
      <w:r w:rsidRPr="00506E55">
        <w:rPr>
          <w:rFonts w:ascii="微软雅黑" w:eastAsia="微软雅黑" w:hAnsi="微软雅黑" w:cs="宋体" w:hint="eastAsia"/>
          <w:color w:val="333333"/>
          <w:kern w:val="0"/>
          <w:sz w:val="25"/>
          <w:szCs w:val="25"/>
        </w:rPr>
        <w:t>看看日</w:t>
      </w:r>
      <w:proofErr w:type="gramEnd"/>
      <w:r w:rsidRPr="00506E55">
        <w:rPr>
          <w:rFonts w:ascii="微软雅黑" w:eastAsia="微软雅黑" w:hAnsi="微软雅黑" w:cs="宋体" w:hint="eastAsia"/>
          <w:color w:val="333333"/>
          <w:kern w:val="0"/>
          <w:sz w:val="25"/>
          <w:szCs w:val="25"/>
        </w:rPr>
        <w:t>金宝这款产品。</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根据官方介绍，日金宝实为泛亚有色金属交易所的资金受托业务。</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具有以下特点：</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1、操作流程简单</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lastRenderedPageBreak/>
        <w:t>只需要简单三步，提供身份证正反面和绑定银行卡的正面，还有电话和邮箱，即可开好账号，拿着</w:t>
      </w:r>
      <w:proofErr w:type="gramStart"/>
      <w:r w:rsidRPr="00506E55">
        <w:rPr>
          <w:rFonts w:ascii="微软雅黑" w:eastAsia="微软雅黑" w:hAnsi="微软雅黑" w:cs="宋体" w:hint="eastAsia"/>
          <w:color w:val="333333"/>
          <w:kern w:val="0"/>
          <w:sz w:val="25"/>
          <w:szCs w:val="25"/>
        </w:rPr>
        <w:t>帐号</w:t>
      </w:r>
      <w:proofErr w:type="gramEnd"/>
      <w:r w:rsidRPr="00506E55">
        <w:rPr>
          <w:rFonts w:ascii="微软雅黑" w:eastAsia="微软雅黑" w:hAnsi="微软雅黑" w:cs="宋体" w:hint="eastAsia"/>
          <w:color w:val="333333"/>
          <w:kern w:val="0"/>
          <w:sz w:val="25"/>
          <w:szCs w:val="25"/>
        </w:rPr>
        <w:t>到</w:t>
      </w:r>
      <w:proofErr w:type="gramStart"/>
      <w:r w:rsidRPr="00506E55">
        <w:rPr>
          <w:rFonts w:ascii="微软雅黑" w:eastAsia="微软雅黑" w:hAnsi="微软雅黑" w:cs="宋体" w:hint="eastAsia"/>
          <w:color w:val="333333"/>
          <w:kern w:val="0"/>
          <w:sz w:val="25"/>
          <w:szCs w:val="25"/>
        </w:rPr>
        <w:t>银行官网进行</w:t>
      </w:r>
      <w:proofErr w:type="gramEnd"/>
      <w:r w:rsidRPr="00506E55">
        <w:rPr>
          <w:rFonts w:ascii="微软雅黑" w:eastAsia="微软雅黑" w:hAnsi="微软雅黑" w:cs="宋体" w:hint="eastAsia"/>
          <w:color w:val="333333"/>
          <w:kern w:val="0"/>
          <w:sz w:val="25"/>
          <w:szCs w:val="25"/>
        </w:rPr>
        <w:t>第三方绑定，下载好软件，修改密码即可操作。</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2、购买门槛低：千元即可操作。</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3、收益高且稳定，无封闭期</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跟一般“钱生钱”的理财服务相比，日金宝更大的优势在于，它不仅能够提供高收益，而且没有封闭期和任何的手续费，最重要的是每日万分之</w:t>
      </w:r>
      <w:proofErr w:type="gramStart"/>
      <w:r w:rsidRPr="00506E55">
        <w:rPr>
          <w:rFonts w:ascii="微软雅黑" w:eastAsia="微软雅黑" w:hAnsi="微软雅黑" w:cs="宋体" w:hint="eastAsia"/>
          <w:color w:val="333333"/>
          <w:kern w:val="0"/>
          <w:sz w:val="25"/>
          <w:szCs w:val="25"/>
        </w:rPr>
        <w:t>3</w:t>
      </w:r>
      <w:proofErr w:type="gramEnd"/>
      <w:r w:rsidRPr="00506E55">
        <w:rPr>
          <w:rFonts w:ascii="微软雅黑" w:eastAsia="微软雅黑" w:hAnsi="微软雅黑" w:cs="宋体" w:hint="eastAsia"/>
          <w:color w:val="333333"/>
          <w:kern w:val="0"/>
          <w:sz w:val="25"/>
          <w:szCs w:val="25"/>
        </w:rPr>
        <w:t>.75的收益当晚8点即可到账。</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4、安全</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首先交易所是受到政府监管,然后每日的成交数据要上交到国务院，而且参与交易所的投资，资金必须通过银行进行“银商转账”进入交易所保证金账户，银行对交易所的保证金账户进行第三方存管。（意思就是除了你之外别人无法动用你的资金）而且资金是由工商，招商，农业，浦发，中国银行，兴业，中信，光大等10多家银行进行第三方托管。保证本金的安全性。</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noProof/>
          <w:color w:val="333333"/>
          <w:kern w:val="0"/>
          <w:sz w:val="25"/>
          <w:szCs w:val="25"/>
        </w:rPr>
        <w:lastRenderedPageBreak/>
        <w:drawing>
          <wp:inline distT="0" distB="0" distL="0" distR="0">
            <wp:extent cx="4572000" cy="3121025"/>
            <wp:effectExtent l="19050" t="0" r="0" b="0"/>
            <wp:docPr id="1" name="图片 2" descr="http://y3.ifengimg.com/a/2015_29/1ece06ae6f0e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y3.ifengimg.com/a/2015_29/1ece06ae6f0e857.jpg"/>
                    <pic:cNvPicPr>
                      <a:picLocks noChangeAspect="1" noChangeArrowheads="1"/>
                    </pic:cNvPicPr>
                  </pic:nvPicPr>
                  <pic:blipFill>
                    <a:blip r:embed="rId8" cstate="print"/>
                    <a:srcRect/>
                    <a:stretch>
                      <a:fillRect/>
                    </a:stretch>
                  </pic:blipFill>
                  <pic:spPr bwMode="auto">
                    <a:xfrm>
                      <a:off x="0" y="0"/>
                      <a:ext cx="4572000" cy="3121025"/>
                    </a:xfrm>
                    <a:prstGeom prst="rect">
                      <a:avLst/>
                    </a:prstGeom>
                    <a:noFill/>
                    <a:ln w="9525">
                      <a:noFill/>
                      <a:miter lim="800000"/>
                      <a:headEnd/>
                      <a:tailEnd/>
                    </a:ln>
                  </pic:spPr>
                </pic:pic>
              </a:graphicData>
            </a:graphic>
          </wp:inline>
        </w:drawing>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显然，这是一款投资门槛很低的、在互联网上销售理财产品，那么为什么泛</w:t>
      </w:r>
      <w:proofErr w:type="gramStart"/>
      <w:r w:rsidRPr="00506E55">
        <w:rPr>
          <w:rFonts w:ascii="微软雅黑" w:eastAsia="微软雅黑" w:hAnsi="微软雅黑" w:cs="宋体" w:hint="eastAsia"/>
          <w:color w:val="333333"/>
          <w:kern w:val="0"/>
          <w:sz w:val="25"/>
          <w:szCs w:val="25"/>
        </w:rPr>
        <w:t>亚作为</w:t>
      </w:r>
      <w:proofErr w:type="gramEnd"/>
      <w:r w:rsidRPr="00506E55">
        <w:rPr>
          <w:rFonts w:ascii="微软雅黑" w:eastAsia="微软雅黑" w:hAnsi="微软雅黑" w:cs="宋体" w:hint="eastAsia"/>
          <w:color w:val="333333"/>
          <w:kern w:val="0"/>
          <w:sz w:val="25"/>
          <w:szCs w:val="25"/>
        </w:rPr>
        <w:t>稀有金属交易所要发售理财产品呢。这和其交易模式有一定的关系。</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在日金宝的介绍中我们看到下面一段文字：</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日金宝的业务原理是：购货方预定货物，支付货物押金。但是交易所实行</w:t>
      </w:r>
      <w:proofErr w:type="gramStart"/>
      <w:r w:rsidRPr="00506E55">
        <w:rPr>
          <w:rFonts w:ascii="微软雅黑" w:eastAsia="微软雅黑" w:hAnsi="微软雅黑" w:cs="宋体" w:hint="eastAsia"/>
          <w:color w:val="333333"/>
          <w:kern w:val="0"/>
          <w:sz w:val="25"/>
          <w:szCs w:val="25"/>
        </w:rPr>
        <w:t>全款全货</w:t>
      </w:r>
      <w:proofErr w:type="gramEnd"/>
      <w:r w:rsidRPr="00506E55">
        <w:rPr>
          <w:rFonts w:ascii="微软雅黑" w:eastAsia="微软雅黑" w:hAnsi="微软雅黑" w:cs="宋体" w:hint="eastAsia"/>
          <w:color w:val="333333"/>
          <w:kern w:val="0"/>
          <w:sz w:val="25"/>
          <w:szCs w:val="25"/>
        </w:rPr>
        <w:t>制度，购货方在预定货物时，需要委托资金受托方垫付全部货款，并为委托</w:t>
      </w:r>
      <w:proofErr w:type="gramStart"/>
      <w:r w:rsidRPr="00506E55">
        <w:rPr>
          <w:rFonts w:ascii="微软雅黑" w:eastAsia="微软雅黑" w:hAnsi="微软雅黑" w:cs="宋体" w:hint="eastAsia"/>
          <w:color w:val="333333"/>
          <w:kern w:val="0"/>
          <w:sz w:val="25"/>
          <w:szCs w:val="25"/>
        </w:rPr>
        <w:t>方代持货物</w:t>
      </w:r>
      <w:proofErr w:type="gramEnd"/>
      <w:r w:rsidRPr="00506E55">
        <w:rPr>
          <w:rFonts w:ascii="微软雅黑" w:eastAsia="微软雅黑" w:hAnsi="微软雅黑" w:cs="宋体" w:hint="eastAsia"/>
          <w:color w:val="333333"/>
          <w:kern w:val="0"/>
          <w:sz w:val="25"/>
          <w:szCs w:val="25"/>
        </w:rPr>
        <w:t>。</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并且，购货委托方需要给资金受托方支付受托日金进行资金垫付补偿，因此将资金受托业务称作为“日金宝”，</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通过“日金宝”用户只需要把资金配比到受托资金里不仅能拿到“投资收益”，而且和银行活期存款利息相比收益更高。</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lastRenderedPageBreak/>
        <w:t>这进一步说明，日金宝是基于泛亚有色金属交易所供应链体系的一款互联网金融产品，上面所提到的委托方为有色金属货物的购买方，受托方为</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日金宝</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的投资者，既一名投资者购买了</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日金宝</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，其实质是为有色金属货物的购买者（委托方）垫付货款，委托方按日给受托方支付一定的利息。</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这种模式中，如果泛亚没有</w:t>
      </w:r>
      <w:proofErr w:type="gramStart"/>
      <w:r w:rsidRPr="00506E55">
        <w:rPr>
          <w:rFonts w:ascii="微软雅黑" w:eastAsia="微软雅黑" w:hAnsi="微软雅黑" w:cs="宋体" w:hint="eastAsia"/>
          <w:color w:val="333333"/>
          <w:kern w:val="0"/>
          <w:sz w:val="25"/>
          <w:szCs w:val="25"/>
        </w:rPr>
        <w:t>做资金池</w:t>
      </w:r>
      <w:proofErr w:type="gramEnd"/>
      <w:r w:rsidRPr="00506E55">
        <w:rPr>
          <w:rFonts w:ascii="微软雅黑" w:eastAsia="微软雅黑" w:hAnsi="微软雅黑" w:cs="宋体" w:hint="eastAsia"/>
          <w:color w:val="333333"/>
          <w:kern w:val="0"/>
          <w:sz w:val="25"/>
          <w:szCs w:val="25"/>
        </w:rPr>
        <w:t>业务、没有挪用资金的话，其实它充当的是一个撮合平台，用的是泛亚的信誉背书。</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但是这种模式并不是不存在风险。</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可以预见的风险包括：交易所倒闭的风险、资金安全风险、操作失误风险、资金离场风险、价格波动风险。</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proofErr w:type="gramStart"/>
      <w:r w:rsidRPr="00506E55">
        <w:rPr>
          <w:rFonts w:ascii="微软雅黑" w:eastAsia="微软雅黑" w:hAnsi="微软雅黑" w:cs="宋体" w:hint="eastAsia"/>
          <w:color w:val="333333"/>
          <w:kern w:val="0"/>
          <w:sz w:val="25"/>
          <w:szCs w:val="25"/>
        </w:rPr>
        <w:t>而从泛亚</w:t>
      </w:r>
      <w:proofErr w:type="gramEnd"/>
      <w:r w:rsidRPr="00506E55">
        <w:rPr>
          <w:rFonts w:ascii="微软雅黑" w:eastAsia="微软雅黑" w:hAnsi="微软雅黑" w:cs="宋体" w:hint="eastAsia"/>
          <w:color w:val="333333"/>
          <w:kern w:val="0"/>
          <w:sz w:val="25"/>
          <w:szCs w:val="25"/>
        </w:rPr>
        <w:t>的公告中我们可以</w:t>
      </w:r>
      <w:hyperlink r:id="rId9" w:tgtFrame="_blank" w:history="1">
        <w:r w:rsidRPr="00506E55">
          <w:rPr>
            <w:rFonts w:ascii="微软雅黑" w:eastAsia="微软雅黑" w:hAnsi="微软雅黑" w:cs="宋体" w:hint="eastAsia"/>
            <w:color w:val="333333"/>
            <w:kern w:val="0"/>
            <w:sz w:val="25"/>
            <w:szCs w:val="25"/>
          </w:rPr>
          <w:t>发现</w:t>
        </w:r>
      </w:hyperlink>
      <w:r w:rsidRPr="00506E55">
        <w:rPr>
          <w:rFonts w:ascii="微软雅黑" w:eastAsia="微软雅黑" w:hAnsi="微软雅黑" w:cs="宋体" w:hint="eastAsia"/>
          <w:color w:val="333333"/>
          <w:kern w:val="0"/>
          <w:sz w:val="25"/>
          <w:szCs w:val="25"/>
        </w:rPr>
        <w:t>资金离场与价格波动是这次兑付风险的导火线。</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一份关于日金</w:t>
      </w:r>
      <w:proofErr w:type="gramStart"/>
      <w:r w:rsidRPr="00506E55">
        <w:rPr>
          <w:rFonts w:ascii="微软雅黑" w:eastAsia="微软雅黑" w:hAnsi="微软雅黑" w:cs="宋体" w:hint="eastAsia"/>
          <w:color w:val="333333"/>
          <w:kern w:val="0"/>
          <w:sz w:val="25"/>
          <w:szCs w:val="25"/>
        </w:rPr>
        <w:t>宝业务</w:t>
      </w:r>
      <w:proofErr w:type="gramEnd"/>
      <w:r w:rsidRPr="00506E55">
        <w:rPr>
          <w:rFonts w:ascii="微软雅黑" w:eastAsia="微软雅黑" w:hAnsi="微软雅黑" w:cs="宋体" w:hint="eastAsia"/>
          <w:color w:val="333333"/>
          <w:kern w:val="0"/>
          <w:sz w:val="25"/>
          <w:szCs w:val="25"/>
        </w:rPr>
        <w:t>的</w:t>
      </w:r>
      <w:r w:rsidRPr="00506E55">
        <w:rPr>
          <w:rFonts w:ascii="微软雅黑" w:eastAsia="微软雅黑" w:hAnsi="微软雅黑" w:cs="宋体"/>
          <w:color w:val="333333"/>
          <w:kern w:val="0"/>
          <w:sz w:val="25"/>
          <w:szCs w:val="25"/>
        </w:rPr>
        <w:t>PPT</w:t>
      </w:r>
      <w:r w:rsidRPr="00506E55">
        <w:rPr>
          <w:rFonts w:ascii="微软雅黑" w:eastAsia="微软雅黑" w:hAnsi="微软雅黑" w:cs="宋体" w:hint="eastAsia"/>
          <w:color w:val="333333"/>
          <w:kern w:val="0"/>
          <w:sz w:val="25"/>
          <w:szCs w:val="25"/>
        </w:rPr>
        <w:t>里，对于这两类风险也有应对，但这次都没有起到作用：</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比如</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泛亚认为资金离场有两种：</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一、被动了结，及委托方还钱，受托方</w:t>
      </w:r>
      <w:proofErr w:type="gramStart"/>
      <w:r w:rsidRPr="00506E55">
        <w:rPr>
          <w:rFonts w:ascii="微软雅黑" w:eastAsia="微软雅黑" w:hAnsi="微软雅黑" w:cs="宋体" w:hint="eastAsia"/>
          <w:color w:val="333333"/>
          <w:kern w:val="0"/>
          <w:sz w:val="25"/>
          <w:szCs w:val="25"/>
        </w:rPr>
        <w:t>被动还</w:t>
      </w:r>
      <w:proofErr w:type="gramEnd"/>
      <w:r w:rsidRPr="00506E55">
        <w:rPr>
          <w:rFonts w:ascii="微软雅黑" w:eastAsia="微软雅黑" w:hAnsi="微软雅黑" w:cs="宋体" w:hint="eastAsia"/>
          <w:color w:val="333333"/>
          <w:kern w:val="0"/>
          <w:sz w:val="25"/>
          <w:szCs w:val="25"/>
        </w:rPr>
        <w:t>货。</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lastRenderedPageBreak/>
        <w:t>二、受托方直接点击资金受托了结，在资金受托业务中存在一个</w:t>
      </w:r>
      <w:proofErr w:type="gramStart"/>
      <w:r w:rsidRPr="00506E55">
        <w:rPr>
          <w:rFonts w:ascii="微软雅黑" w:eastAsia="微软雅黑" w:hAnsi="微软雅黑" w:cs="宋体" w:hint="eastAsia"/>
          <w:color w:val="333333"/>
          <w:kern w:val="0"/>
          <w:sz w:val="25"/>
          <w:szCs w:val="25"/>
        </w:rPr>
        <w:t>配比率</w:t>
      </w:r>
      <w:proofErr w:type="gramEnd"/>
      <w:r w:rsidRPr="00506E55">
        <w:rPr>
          <w:rFonts w:ascii="微软雅黑" w:eastAsia="微软雅黑" w:hAnsi="微软雅黑" w:cs="宋体" w:hint="eastAsia"/>
          <w:color w:val="333333"/>
          <w:kern w:val="0"/>
          <w:sz w:val="25"/>
          <w:szCs w:val="25"/>
        </w:rPr>
        <w:t>的问题，目前的资金受托配对率大概在</w:t>
      </w:r>
      <w:r w:rsidRPr="00506E55">
        <w:rPr>
          <w:rFonts w:ascii="微软雅黑" w:eastAsia="微软雅黑" w:hAnsi="微软雅黑" w:cs="宋体"/>
          <w:color w:val="333333"/>
          <w:kern w:val="0"/>
          <w:sz w:val="25"/>
          <w:szCs w:val="25"/>
        </w:rPr>
        <w:t>10%</w:t>
      </w:r>
      <w:r w:rsidRPr="00506E55">
        <w:rPr>
          <w:rFonts w:ascii="微软雅黑" w:eastAsia="微软雅黑" w:hAnsi="微软雅黑" w:cs="宋体" w:hint="eastAsia"/>
          <w:color w:val="333333"/>
          <w:kern w:val="0"/>
          <w:sz w:val="25"/>
          <w:szCs w:val="25"/>
        </w:rPr>
        <w:t>到</w:t>
      </w:r>
      <w:r w:rsidRPr="00506E55">
        <w:rPr>
          <w:rFonts w:ascii="微软雅黑" w:eastAsia="微软雅黑" w:hAnsi="微软雅黑" w:cs="宋体"/>
          <w:color w:val="333333"/>
          <w:kern w:val="0"/>
          <w:sz w:val="25"/>
          <w:szCs w:val="25"/>
        </w:rPr>
        <w:t>20%</w:t>
      </w:r>
      <w:r w:rsidRPr="00506E55">
        <w:rPr>
          <w:rFonts w:ascii="微软雅黑" w:eastAsia="微软雅黑" w:hAnsi="微软雅黑" w:cs="宋体" w:hint="eastAsia"/>
          <w:color w:val="333333"/>
          <w:kern w:val="0"/>
          <w:sz w:val="25"/>
          <w:szCs w:val="25"/>
        </w:rPr>
        <w:t>左右，表明等待入场的资金是想要离场的资金的</w:t>
      </w:r>
      <w:r w:rsidRPr="00506E55">
        <w:rPr>
          <w:rFonts w:ascii="微软雅黑" w:eastAsia="微软雅黑" w:hAnsi="微软雅黑" w:cs="宋体"/>
          <w:color w:val="333333"/>
          <w:kern w:val="0"/>
          <w:sz w:val="25"/>
          <w:szCs w:val="25"/>
        </w:rPr>
        <w:t>5</w:t>
      </w:r>
      <w:r w:rsidRPr="00506E55">
        <w:rPr>
          <w:rFonts w:ascii="微软雅黑" w:eastAsia="微软雅黑" w:hAnsi="微软雅黑" w:cs="宋体" w:hint="eastAsia"/>
          <w:color w:val="333333"/>
          <w:kern w:val="0"/>
          <w:sz w:val="25"/>
          <w:szCs w:val="25"/>
        </w:rPr>
        <w:t>到</w:t>
      </w:r>
      <w:r w:rsidRPr="00506E55">
        <w:rPr>
          <w:rFonts w:ascii="微软雅黑" w:eastAsia="微软雅黑" w:hAnsi="微软雅黑" w:cs="宋体"/>
          <w:color w:val="333333"/>
          <w:kern w:val="0"/>
          <w:sz w:val="25"/>
          <w:szCs w:val="25"/>
        </w:rPr>
        <w:t>10</w:t>
      </w:r>
      <w:r w:rsidRPr="00506E55">
        <w:rPr>
          <w:rFonts w:ascii="微软雅黑" w:eastAsia="微软雅黑" w:hAnsi="微软雅黑" w:cs="宋体" w:hint="eastAsia"/>
          <w:color w:val="333333"/>
          <w:kern w:val="0"/>
          <w:sz w:val="25"/>
          <w:szCs w:val="25"/>
        </w:rPr>
        <w:t>倍，因此了结操作可以确保一次性完成。</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但是规避第二条受托</w:t>
      </w:r>
      <w:proofErr w:type="gramStart"/>
      <w:r w:rsidRPr="00506E55">
        <w:rPr>
          <w:rFonts w:ascii="微软雅黑" w:eastAsia="微软雅黑" w:hAnsi="微软雅黑" w:cs="宋体" w:hint="eastAsia"/>
          <w:color w:val="333333"/>
          <w:kern w:val="0"/>
          <w:sz w:val="25"/>
          <w:szCs w:val="25"/>
        </w:rPr>
        <w:t>方主动</w:t>
      </w:r>
      <w:proofErr w:type="gramEnd"/>
      <w:r w:rsidRPr="00506E55">
        <w:rPr>
          <w:rFonts w:ascii="微软雅黑" w:eastAsia="微软雅黑" w:hAnsi="微软雅黑" w:cs="宋体" w:hint="eastAsia"/>
          <w:color w:val="333333"/>
          <w:kern w:val="0"/>
          <w:sz w:val="25"/>
          <w:szCs w:val="25"/>
        </w:rPr>
        <w:t>离场的前提是要有大量的资金准备入场，说白了，这款产品受到追捧，供不应求。但现实情况并不是这样，在泛</w:t>
      </w:r>
      <w:proofErr w:type="gramStart"/>
      <w:r w:rsidRPr="00506E55">
        <w:rPr>
          <w:rFonts w:ascii="微软雅黑" w:eastAsia="微软雅黑" w:hAnsi="微软雅黑" w:cs="宋体" w:hint="eastAsia"/>
          <w:color w:val="333333"/>
          <w:kern w:val="0"/>
          <w:sz w:val="25"/>
          <w:szCs w:val="25"/>
        </w:rPr>
        <w:t>亚今天</w:t>
      </w:r>
      <w:proofErr w:type="gramEnd"/>
      <w:r w:rsidRPr="00506E55">
        <w:rPr>
          <w:rFonts w:ascii="微软雅黑" w:eastAsia="微软雅黑" w:hAnsi="微软雅黑" w:cs="宋体" w:hint="eastAsia"/>
          <w:color w:val="333333"/>
          <w:kern w:val="0"/>
          <w:sz w:val="25"/>
          <w:szCs w:val="25"/>
        </w:rPr>
        <w:t>的公告中我们可以看到，泛亚的很多投资者参与的是以</w:t>
      </w:r>
      <w:r w:rsidRPr="00506E55">
        <w:rPr>
          <w:rFonts w:ascii="微软雅黑" w:eastAsia="微软雅黑" w:hAnsi="微软雅黑" w:cs="宋体"/>
          <w:color w:val="333333"/>
          <w:kern w:val="0"/>
          <w:sz w:val="25"/>
          <w:szCs w:val="25"/>
        </w:rPr>
        <w:t>100%</w:t>
      </w:r>
      <w:r w:rsidRPr="00506E55">
        <w:rPr>
          <w:rFonts w:ascii="微软雅黑" w:eastAsia="微软雅黑" w:hAnsi="微软雅黑" w:cs="宋体" w:hint="eastAsia"/>
          <w:color w:val="333333"/>
          <w:kern w:val="0"/>
          <w:sz w:val="25"/>
          <w:szCs w:val="25"/>
        </w:rPr>
        <w:t>稀有</w:t>
      </w:r>
      <w:hyperlink r:id="rId10" w:tgtFrame="_blank" w:history="1">
        <w:r w:rsidRPr="00506E55">
          <w:rPr>
            <w:rFonts w:ascii="微软雅黑" w:eastAsia="微软雅黑" w:hAnsi="微软雅黑" w:cs="宋体" w:hint="eastAsia"/>
            <w:color w:val="333333"/>
            <w:kern w:val="0"/>
            <w:sz w:val="25"/>
            <w:szCs w:val="25"/>
          </w:rPr>
          <w:t>稀土</w:t>
        </w:r>
      </w:hyperlink>
      <w:r w:rsidRPr="00506E55">
        <w:rPr>
          <w:rFonts w:ascii="微软雅黑" w:eastAsia="微软雅黑" w:hAnsi="微软雅黑" w:cs="宋体" w:hint="eastAsia"/>
          <w:color w:val="333333"/>
          <w:kern w:val="0"/>
          <w:sz w:val="25"/>
          <w:szCs w:val="25"/>
        </w:rPr>
        <w:t>金属货物资产质押，今年</w:t>
      </w:r>
      <w:r w:rsidRPr="00506E55">
        <w:rPr>
          <w:rFonts w:ascii="微软雅黑" w:eastAsia="微软雅黑" w:hAnsi="微软雅黑" w:cs="宋体"/>
          <w:color w:val="333333"/>
          <w:kern w:val="0"/>
          <w:sz w:val="25"/>
          <w:szCs w:val="25"/>
        </w:rPr>
        <w:t>4</w:t>
      </w:r>
      <w:r w:rsidRPr="00506E55">
        <w:rPr>
          <w:rFonts w:ascii="微软雅黑" w:eastAsia="微软雅黑" w:hAnsi="微软雅黑" w:cs="宋体" w:hint="eastAsia"/>
          <w:color w:val="333333"/>
          <w:kern w:val="0"/>
          <w:sz w:val="25"/>
          <w:szCs w:val="25"/>
        </w:rPr>
        <w:t>月份以来，受多重因素影响，委托受托业务出现流动性问题，影响该业务正常运行。其中重要的一个原因是稀有金属价格暴跌，比如电子盘期货</w:t>
      </w:r>
      <w:proofErr w:type="gramStart"/>
      <w:r w:rsidRPr="00506E55">
        <w:rPr>
          <w:rFonts w:ascii="微软雅黑" w:eastAsia="微软雅黑" w:hAnsi="微软雅黑" w:cs="宋体" w:hint="eastAsia"/>
          <w:color w:val="333333"/>
          <w:kern w:val="0"/>
          <w:sz w:val="25"/>
          <w:szCs w:val="25"/>
        </w:rPr>
        <w:t>铟</w:t>
      </w:r>
      <w:proofErr w:type="gramEnd"/>
      <w:r w:rsidRPr="00506E55">
        <w:rPr>
          <w:rFonts w:ascii="微软雅黑" w:eastAsia="微软雅黑" w:hAnsi="微软雅黑" w:cs="宋体" w:hint="eastAsia"/>
          <w:color w:val="333333"/>
          <w:kern w:val="0"/>
          <w:sz w:val="25"/>
          <w:szCs w:val="25"/>
        </w:rPr>
        <w:t>价格在半年内从</w:t>
      </w:r>
      <w:r w:rsidRPr="00506E55">
        <w:rPr>
          <w:rFonts w:ascii="微软雅黑" w:eastAsia="微软雅黑" w:hAnsi="微软雅黑" w:cs="宋体"/>
          <w:color w:val="333333"/>
          <w:kern w:val="0"/>
          <w:sz w:val="25"/>
          <w:szCs w:val="25"/>
        </w:rPr>
        <w:t>550</w:t>
      </w:r>
      <w:r w:rsidRPr="00506E55">
        <w:rPr>
          <w:rFonts w:ascii="微软雅黑" w:eastAsia="微软雅黑" w:hAnsi="微软雅黑" w:cs="宋体" w:hint="eastAsia"/>
          <w:color w:val="333333"/>
          <w:kern w:val="0"/>
          <w:sz w:val="25"/>
          <w:szCs w:val="25"/>
        </w:rPr>
        <w:t>元下跌到了最低</w:t>
      </w:r>
      <w:r w:rsidRPr="00506E55">
        <w:rPr>
          <w:rFonts w:ascii="微软雅黑" w:eastAsia="微软雅黑" w:hAnsi="微软雅黑" w:cs="宋体"/>
          <w:color w:val="333333"/>
          <w:kern w:val="0"/>
          <w:sz w:val="25"/>
          <w:szCs w:val="25"/>
        </w:rPr>
        <w:t>180</w:t>
      </w:r>
      <w:r w:rsidRPr="00506E55">
        <w:rPr>
          <w:rFonts w:ascii="微软雅黑" w:eastAsia="微软雅黑" w:hAnsi="微软雅黑" w:cs="宋体" w:hint="eastAsia"/>
          <w:color w:val="333333"/>
          <w:kern w:val="0"/>
          <w:sz w:val="25"/>
          <w:szCs w:val="25"/>
        </w:rPr>
        <w:t>元，下跌了了</w:t>
      </w:r>
      <w:r w:rsidRPr="00506E55">
        <w:rPr>
          <w:rFonts w:ascii="微软雅黑" w:eastAsia="微软雅黑" w:hAnsi="微软雅黑" w:cs="宋体"/>
          <w:color w:val="333333"/>
          <w:kern w:val="0"/>
          <w:sz w:val="25"/>
          <w:szCs w:val="25"/>
        </w:rPr>
        <w:t>72%</w:t>
      </w:r>
      <w:r w:rsidRPr="00506E55">
        <w:rPr>
          <w:rFonts w:ascii="微软雅黑" w:eastAsia="微软雅黑" w:hAnsi="微软雅黑" w:cs="宋体" w:hint="eastAsia"/>
          <w:color w:val="333333"/>
          <w:kern w:val="0"/>
          <w:sz w:val="25"/>
          <w:szCs w:val="25"/>
        </w:rPr>
        <w:t>，这些都引起了投资者的恐慌。</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对于价格的涨跌，泛亚的应对方式是：</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在资金受托业务当中，由于货物的价格一直在变动，为了确保受托方本金的安全，交易所对受托方的货物进行了价格溢短来保证。</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当货</w:t>
      </w:r>
      <w:hyperlink r:id="rId11" w:tgtFrame="_blank" w:history="1">
        <w:r w:rsidRPr="00506E55">
          <w:rPr>
            <w:rFonts w:ascii="微软雅黑" w:eastAsia="微软雅黑" w:hAnsi="微软雅黑" w:cs="宋体" w:hint="eastAsia"/>
            <w:color w:val="333333"/>
            <w:kern w:val="0"/>
            <w:sz w:val="25"/>
            <w:szCs w:val="25"/>
          </w:rPr>
          <w:t>物价</w:t>
        </w:r>
      </w:hyperlink>
      <w:r w:rsidRPr="00506E55">
        <w:rPr>
          <w:rFonts w:ascii="微软雅黑" w:eastAsia="微软雅黑" w:hAnsi="微软雅黑" w:cs="宋体" w:hint="eastAsia"/>
          <w:color w:val="333333"/>
          <w:kern w:val="0"/>
          <w:sz w:val="25"/>
          <w:szCs w:val="25"/>
        </w:rPr>
        <w:t>格上涨时，受托方需补足实际价格与货物成交时的差价，收益为补足后货物价格的万分之</w:t>
      </w:r>
      <w:proofErr w:type="gramStart"/>
      <w:r w:rsidRPr="00506E55">
        <w:rPr>
          <w:rFonts w:ascii="微软雅黑" w:eastAsia="微软雅黑" w:hAnsi="微软雅黑" w:cs="宋体"/>
          <w:color w:val="333333"/>
          <w:kern w:val="0"/>
          <w:sz w:val="25"/>
          <w:szCs w:val="25"/>
        </w:rPr>
        <w:t>3</w:t>
      </w:r>
      <w:proofErr w:type="gramEnd"/>
      <w:r w:rsidRPr="00506E55">
        <w:rPr>
          <w:rFonts w:ascii="微软雅黑" w:eastAsia="微软雅黑" w:hAnsi="微软雅黑" w:cs="宋体"/>
          <w:color w:val="333333"/>
          <w:kern w:val="0"/>
          <w:sz w:val="25"/>
          <w:szCs w:val="25"/>
        </w:rPr>
        <w:t>.75</w:t>
      </w:r>
      <w:r w:rsidRPr="00506E55">
        <w:rPr>
          <w:rFonts w:ascii="微软雅黑" w:eastAsia="微软雅黑" w:hAnsi="微软雅黑" w:cs="宋体" w:hint="eastAsia"/>
          <w:color w:val="333333"/>
          <w:kern w:val="0"/>
          <w:sz w:val="25"/>
          <w:szCs w:val="25"/>
        </w:rPr>
        <w:t>或万分之</w:t>
      </w:r>
      <w:proofErr w:type="gramStart"/>
      <w:r w:rsidRPr="00506E55">
        <w:rPr>
          <w:rFonts w:ascii="微软雅黑" w:eastAsia="微软雅黑" w:hAnsi="微软雅黑" w:cs="宋体"/>
          <w:color w:val="333333"/>
          <w:kern w:val="0"/>
          <w:sz w:val="25"/>
          <w:szCs w:val="25"/>
        </w:rPr>
        <w:t>3</w:t>
      </w:r>
      <w:proofErr w:type="gramEnd"/>
      <w:r w:rsidRPr="00506E55">
        <w:rPr>
          <w:rFonts w:ascii="微软雅黑" w:eastAsia="微软雅黑" w:hAnsi="微软雅黑" w:cs="宋体" w:hint="eastAsia"/>
          <w:color w:val="333333"/>
          <w:kern w:val="0"/>
          <w:sz w:val="25"/>
          <w:szCs w:val="25"/>
        </w:rPr>
        <w:t>。</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当货物价格下跌时，货物成交价大于现在的实际价格，系统将自动退回账户差价。</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lastRenderedPageBreak/>
        <w:t>在价格溢短当中，无论价格涨还是跌，受托方的收益利率都是稳定不变的，因此投资者的资金不受价格涨跌的变动而对收益有所影响。</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这一规定，让本来充当平台的泛亚交易所不仅仅是以自己的信誉为日金宝背书，必须拿出真金白银来应对价格的波动，当价格大幅下跌的时候，交易所用来弥补投资者损失的资金量也在加大。</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另外，监管规则的变化让这种情况雪上加霜，根据泛亚公告，</w:t>
      </w:r>
      <w:r w:rsidRPr="00506E55">
        <w:rPr>
          <w:rFonts w:ascii="微软雅黑" w:eastAsia="微软雅黑" w:hAnsi="微软雅黑" w:cs="宋体"/>
          <w:color w:val="333333"/>
          <w:kern w:val="0"/>
          <w:sz w:val="25"/>
          <w:szCs w:val="25"/>
        </w:rPr>
        <w:t xml:space="preserve"> 2014</w:t>
      </w:r>
      <w:r w:rsidRPr="00506E55">
        <w:rPr>
          <w:rFonts w:ascii="微软雅黑" w:eastAsia="微软雅黑" w:hAnsi="微软雅黑" w:cs="宋体" w:hint="eastAsia"/>
          <w:color w:val="333333"/>
          <w:kern w:val="0"/>
          <w:sz w:val="25"/>
          <w:szCs w:val="25"/>
        </w:rPr>
        <w:t>年底，泛亚有色金属交易所按照证监会、云南省清整办、昆明市清整办、云南证监局等监管部门要求，落实</w:t>
      </w:r>
      <w:r w:rsidRPr="00506E55">
        <w:rPr>
          <w:rFonts w:ascii="微软雅黑" w:eastAsia="微软雅黑" w:hAnsi="微软雅黑" w:cs="宋体"/>
          <w:color w:val="333333"/>
          <w:kern w:val="0"/>
          <w:sz w:val="25"/>
          <w:szCs w:val="25"/>
        </w:rPr>
        <w:t>T+5</w:t>
      </w:r>
      <w:r w:rsidRPr="00506E55">
        <w:rPr>
          <w:rFonts w:ascii="微软雅黑" w:eastAsia="微软雅黑" w:hAnsi="微软雅黑" w:cs="宋体" w:hint="eastAsia"/>
          <w:color w:val="333333"/>
          <w:kern w:val="0"/>
          <w:sz w:val="25"/>
          <w:szCs w:val="25"/>
        </w:rPr>
        <w:t>（交易商买入后卖出或卖出后买入同一交易品种的时间间隔不得少于</w:t>
      </w:r>
      <w:r w:rsidRPr="00506E55">
        <w:rPr>
          <w:rFonts w:ascii="微软雅黑" w:eastAsia="微软雅黑" w:hAnsi="微软雅黑" w:cs="宋体"/>
          <w:color w:val="333333"/>
          <w:kern w:val="0"/>
          <w:sz w:val="25"/>
          <w:szCs w:val="25"/>
        </w:rPr>
        <w:t>5</w:t>
      </w:r>
      <w:r w:rsidRPr="00506E55">
        <w:rPr>
          <w:rFonts w:ascii="微软雅黑" w:eastAsia="微软雅黑" w:hAnsi="微软雅黑" w:cs="宋体" w:hint="eastAsia"/>
          <w:color w:val="333333"/>
          <w:kern w:val="0"/>
          <w:sz w:val="25"/>
          <w:szCs w:val="25"/>
        </w:rPr>
        <w:t>个交易日）和彻底实名制（交易时可见交易商的企业名称或身份证件名）整改要求，</w:t>
      </w:r>
      <w:r w:rsidRPr="00506E55">
        <w:rPr>
          <w:rFonts w:ascii="微软雅黑" w:eastAsia="微软雅黑" w:hAnsi="微软雅黑" w:cs="宋体"/>
          <w:color w:val="333333"/>
          <w:kern w:val="0"/>
          <w:sz w:val="25"/>
          <w:szCs w:val="25"/>
        </w:rPr>
        <w:t>12</w:t>
      </w:r>
      <w:r w:rsidRPr="00506E55">
        <w:rPr>
          <w:rFonts w:ascii="微软雅黑" w:eastAsia="微软雅黑" w:hAnsi="微软雅黑" w:cs="宋体" w:hint="eastAsia"/>
          <w:color w:val="333333"/>
          <w:kern w:val="0"/>
          <w:sz w:val="25"/>
          <w:szCs w:val="25"/>
        </w:rPr>
        <w:t>月</w:t>
      </w:r>
      <w:r w:rsidRPr="00506E55">
        <w:rPr>
          <w:rFonts w:ascii="微软雅黑" w:eastAsia="微软雅黑" w:hAnsi="微软雅黑" w:cs="宋体"/>
          <w:color w:val="333333"/>
          <w:kern w:val="0"/>
          <w:sz w:val="25"/>
          <w:szCs w:val="25"/>
        </w:rPr>
        <w:t>8</w:t>
      </w:r>
      <w:r w:rsidRPr="00506E55">
        <w:rPr>
          <w:rFonts w:ascii="微软雅黑" w:eastAsia="微软雅黑" w:hAnsi="微软雅黑" w:cs="宋体" w:hint="eastAsia"/>
          <w:color w:val="333333"/>
          <w:kern w:val="0"/>
          <w:sz w:val="25"/>
          <w:szCs w:val="25"/>
        </w:rPr>
        <w:t>日通过系统升级实现。</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这一规则改变造成的影响是</w:t>
      </w:r>
      <w:r w:rsidRPr="00506E55">
        <w:rPr>
          <w:rFonts w:ascii="微软雅黑" w:eastAsia="微软雅黑" w:hAnsi="微软雅黑" w:cs="宋体"/>
          <w:color w:val="333333"/>
          <w:kern w:val="0"/>
          <w:sz w:val="25"/>
          <w:szCs w:val="25"/>
        </w:rPr>
        <w:t>T+1</w:t>
      </w:r>
      <w:r w:rsidRPr="00506E55">
        <w:rPr>
          <w:rFonts w:ascii="微软雅黑" w:eastAsia="微软雅黑" w:hAnsi="微软雅黑" w:cs="宋体" w:hint="eastAsia"/>
          <w:color w:val="333333"/>
          <w:kern w:val="0"/>
          <w:sz w:val="25"/>
          <w:szCs w:val="25"/>
        </w:rPr>
        <w:t>整改为</w:t>
      </w:r>
      <w:r w:rsidRPr="00506E55">
        <w:rPr>
          <w:rFonts w:ascii="微软雅黑" w:eastAsia="微软雅黑" w:hAnsi="微软雅黑" w:cs="宋体"/>
          <w:color w:val="333333"/>
          <w:kern w:val="0"/>
          <w:sz w:val="25"/>
          <w:szCs w:val="25"/>
        </w:rPr>
        <w:t>T+5</w:t>
      </w:r>
      <w:r w:rsidRPr="00506E55">
        <w:rPr>
          <w:rFonts w:ascii="微软雅黑" w:eastAsia="微软雅黑" w:hAnsi="微软雅黑" w:cs="宋体" w:hint="eastAsia"/>
          <w:color w:val="333333"/>
          <w:kern w:val="0"/>
          <w:sz w:val="25"/>
          <w:szCs w:val="25"/>
        </w:rPr>
        <w:t>后，直接抑制了市场发挥功能，也使交易额大幅下降，有的品种交易量不及原来的</w:t>
      </w:r>
      <w:r w:rsidRPr="00506E55">
        <w:rPr>
          <w:rFonts w:ascii="微软雅黑" w:eastAsia="微软雅黑" w:hAnsi="微软雅黑" w:cs="宋体"/>
          <w:color w:val="333333"/>
          <w:kern w:val="0"/>
          <w:sz w:val="25"/>
          <w:szCs w:val="25"/>
        </w:rPr>
        <w:t>1/10</w:t>
      </w:r>
      <w:r w:rsidRPr="00506E55">
        <w:rPr>
          <w:rFonts w:ascii="微软雅黑" w:eastAsia="微软雅黑" w:hAnsi="微软雅黑" w:cs="宋体" w:hint="eastAsia"/>
          <w:color w:val="333333"/>
          <w:kern w:val="0"/>
          <w:sz w:val="25"/>
          <w:szCs w:val="25"/>
        </w:rPr>
        <w:t>。此外，按照省市</w:t>
      </w:r>
      <w:proofErr w:type="gramStart"/>
      <w:r w:rsidRPr="00506E55">
        <w:rPr>
          <w:rFonts w:ascii="微软雅黑" w:eastAsia="微软雅黑" w:hAnsi="微软雅黑" w:cs="宋体" w:hint="eastAsia"/>
          <w:color w:val="333333"/>
          <w:kern w:val="0"/>
          <w:sz w:val="25"/>
          <w:szCs w:val="25"/>
        </w:rPr>
        <w:t>清整办</w:t>
      </w:r>
      <w:proofErr w:type="gramEnd"/>
      <w:r w:rsidRPr="00506E55">
        <w:rPr>
          <w:rFonts w:ascii="微软雅黑" w:eastAsia="微软雅黑" w:hAnsi="微软雅黑" w:cs="宋体" w:hint="eastAsia"/>
          <w:color w:val="333333"/>
          <w:kern w:val="0"/>
          <w:sz w:val="25"/>
          <w:szCs w:val="25"/>
        </w:rPr>
        <w:t>的整改要求，泛亚有色金属交易所于</w:t>
      </w:r>
      <w:r w:rsidRPr="00506E55">
        <w:rPr>
          <w:rFonts w:ascii="微软雅黑" w:eastAsia="微软雅黑" w:hAnsi="微软雅黑" w:cs="宋体"/>
          <w:color w:val="333333"/>
          <w:kern w:val="0"/>
          <w:sz w:val="25"/>
          <w:szCs w:val="25"/>
        </w:rPr>
        <w:t>2015</w:t>
      </w:r>
      <w:r w:rsidRPr="00506E55">
        <w:rPr>
          <w:rFonts w:ascii="微软雅黑" w:eastAsia="微软雅黑" w:hAnsi="微软雅黑" w:cs="宋体" w:hint="eastAsia"/>
          <w:color w:val="333333"/>
          <w:kern w:val="0"/>
          <w:sz w:val="25"/>
          <w:szCs w:val="25"/>
        </w:rPr>
        <w:t>年</w:t>
      </w:r>
      <w:r w:rsidRPr="00506E55">
        <w:rPr>
          <w:rFonts w:ascii="微软雅黑" w:eastAsia="微软雅黑" w:hAnsi="微软雅黑" w:cs="宋体"/>
          <w:color w:val="333333"/>
          <w:kern w:val="0"/>
          <w:sz w:val="25"/>
          <w:szCs w:val="25"/>
        </w:rPr>
        <w:t>1</w:t>
      </w:r>
      <w:r w:rsidRPr="00506E55">
        <w:rPr>
          <w:rFonts w:ascii="微软雅黑" w:eastAsia="微软雅黑" w:hAnsi="微软雅黑" w:cs="宋体" w:hint="eastAsia"/>
          <w:color w:val="333333"/>
          <w:kern w:val="0"/>
          <w:sz w:val="25"/>
          <w:szCs w:val="25"/>
        </w:rPr>
        <w:t>月正式取消了卖出申报的交易模式。原本</w:t>
      </w:r>
      <w:r w:rsidRPr="00506E55">
        <w:rPr>
          <w:rFonts w:ascii="微软雅黑" w:eastAsia="微软雅黑" w:hAnsi="微软雅黑" w:cs="宋体"/>
          <w:color w:val="333333"/>
          <w:kern w:val="0"/>
          <w:sz w:val="25"/>
          <w:szCs w:val="25"/>
        </w:rPr>
        <w:t>400</w:t>
      </w:r>
      <w:r w:rsidRPr="00506E55">
        <w:rPr>
          <w:rFonts w:ascii="微软雅黑" w:eastAsia="微软雅黑" w:hAnsi="微软雅黑" w:cs="宋体" w:hint="eastAsia"/>
          <w:color w:val="333333"/>
          <w:kern w:val="0"/>
          <w:sz w:val="25"/>
          <w:szCs w:val="25"/>
        </w:rPr>
        <w:t>多亿客户资产中，</w:t>
      </w:r>
      <w:r w:rsidRPr="00506E55">
        <w:rPr>
          <w:rFonts w:ascii="微软雅黑" w:eastAsia="微软雅黑" w:hAnsi="微软雅黑" w:cs="宋体"/>
          <w:color w:val="333333"/>
          <w:kern w:val="0"/>
          <w:sz w:val="25"/>
          <w:szCs w:val="25"/>
        </w:rPr>
        <w:t>50%</w:t>
      </w:r>
      <w:r w:rsidRPr="00506E55">
        <w:rPr>
          <w:rFonts w:ascii="微软雅黑" w:eastAsia="微软雅黑" w:hAnsi="微软雅黑" w:cs="宋体" w:hint="eastAsia"/>
          <w:color w:val="333333"/>
          <w:kern w:val="0"/>
          <w:sz w:val="25"/>
          <w:szCs w:val="25"/>
        </w:rPr>
        <w:t>是具有</w:t>
      </w:r>
      <w:r w:rsidRPr="00506E55">
        <w:rPr>
          <w:rFonts w:ascii="微软雅黑" w:eastAsia="微软雅黑" w:hAnsi="微软雅黑" w:cs="宋体"/>
          <w:color w:val="333333"/>
          <w:kern w:val="0"/>
          <w:sz w:val="25"/>
          <w:szCs w:val="25"/>
        </w:rPr>
        <w:t>180</w:t>
      </w:r>
      <w:r w:rsidRPr="00506E55">
        <w:rPr>
          <w:rFonts w:ascii="微软雅黑" w:eastAsia="微软雅黑" w:hAnsi="微软雅黑" w:cs="宋体" w:hint="eastAsia"/>
          <w:color w:val="333333"/>
          <w:kern w:val="0"/>
          <w:sz w:val="25"/>
          <w:szCs w:val="25"/>
        </w:rPr>
        <w:t>天封闭期的结构化资产，另外</w:t>
      </w:r>
      <w:r w:rsidRPr="00506E55">
        <w:rPr>
          <w:rFonts w:ascii="微软雅黑" w:eastAsia="微软雅黑" w:hAnsi="微软雅黑" w:cs="宋体"/>
          <w:color w:val="333333"/>
          <w:kern w:val="0"/>
          <w:sz w:val="25"/>
          <w:szCs w:val="25"/>
        </w:rPr>
        <w:t>50%</w:t>
      </w:r>
      <w:r w:rsidRPr="00506E55">
        <w:rPr>
          <w:rFonts w:ascii="微软雅黑" w:eastAsia="微软雅黑" w:hAnsi="微软雅黑" w:cs="宋体" w:hint="eastAsia"/>
          <w:color w:val="333333"/>
          <w:kern w:val="0"/>
          <w:sz w:val="25"/>
          <w:szCs w:val="25"/>
        </w:rPr>
        <w:t>为流动资产，其中还有</w:t>
      </w:r>
      <w:r w:rsidRPr="00506E55">
        <w:rPr>
          <w:rFonts w:ascii="微软雅黑" w:eastAsia="微软雅黑" w:hAnsi="微软雅黑" w:cs="宋体"/>
          <w:color w:val="333333"/>
          <w:kern w:val="0"/>
          <w:sz w:val="25"/>
          <w:szCs w:val="25"/>
        </w:rPr>
        <w:t>20%</w:t>
      </w:r>
      <w:r w:rsidRPr="00506E55">
        <w:rPr>
          <w:rFonts w:ascii="微软雅黑" w:eastAsia="微软雅黑" w:hAnsi="微软雅黑" w:cs="宋体" w:hint="eastAsia"/>
          <w:color w:val="333333"/>
          <w:kern w:val="0"/>
          <w:sz w:val="25"/>
          <w:szCs w:val="25"/>
        </w:rPr>
        <w:t>以上的风险处置金，风险体系比较完备。卖出申报取消后，</w:t>
      </w:r>
      <w:r w:rsidRPr="00506E55">
        <w:rPr>
          <w:rFonts w:ascii="微软雅黑" w:eastAsia="微软雅黑" w:hAnsi="微软雅黑" w:cs="宋体"/>
          <w:color w:val="333333"/>
          <w:kern w:val="0"/>
          <w:sz w:val="25"/>
          <w:szCs w:val="25"/>
        </w:rPr>
        <w:t>400</w:t>
      </w:r>
      <w:r w:rsidRPr="00506E55">
        <w:rPr>
          <w:rFonts w:ascii="微软雅黑" w:eastAsia="微软雅黑" w:hAnsi="微软雅黑" w:cs="宋体" w:hint="eastAsia"/>
          <w:color w:val="333333"/>
          <w:kern w:val="0"/>
          <w:sz w:val="25"/>
          <w:szCs w:val="25"/>
        </w:rPr>
        <w:t>多亿客户资产变为</w:t>
      </w:r>
      <w:r w:rsidRPr="00506E55">
        <w:rPr>
          <w:rFonts w:ascii="微软雅黑" w:eastAsia="微软雅黑" w:hAnsi="微软雅黑" w:cs="宋体"/>
          <w:color w:val="333333"/>
          <w:kern w:val="0"/>
          <w:sz w:val="25"/>
          <w:szCs w:val="25"/>
        </w:rPr>
        <w:t>100%</w:t>
      </w:r>
      <w:r w:rsidRPr="00506E55">
        <w:rPr>
          <w:rFonts w:ascii="微软雅黑" w:eastAsia="微软雅黑" w:hAnsi="微软雅黑" w:cs="宋体" w:hint="eastAsia"/>
          <w:color w:val="333333"/>
          <w:kern w:val="0"/>
          <w:sz w:val="25"/>
          <w:szCs w:val="25"/>
        </w:rPr>
        <w:t>可流动资产，流动性风险难以管理。</w:t>
      </w:r>
    </w:p>
    <w:p w:rsidR="00D136B3" w:rsidRPr="009C4FE3" w:rsidRDefault="009C4FE3" w:rsidP="009C4FE3">
      <w:pPr>
        <w:widowControl/>
        <w:spacing w:before="100" w:beforeAutospacing="1" w:after="375" w:line="360" w:lineRule="atLeast"/>
        <w:ind w:leftChars="0" w:left="315" w:rightChars="0" w:right="315" w:firstLineChars="0" w:firstLine="420"/>
        <w:jc w:val="both"/>
        <w:rPr>
          <w:rFonts w:ascii="微软雅黑" w:eastAsia="微软雅黑" w:hAnsi="微软雅黑" w:cs="宋体"/>
          <w:color w:val="333333"/>
          <w:kern w:val="0"/>
          <w:sz w:val="25"/>
          <w:szCs w:val="25"/>
        </w:rPr>
      </w:pPr>
      <w:r>
        <w:rPr>
          <w:rFonts w:ascii="微软雅黑" w:eastAsia="微软雅黑" w:hAnsi="微软雅黑" w:cs="宋体" w:hint="eastAsia"/>
          <w:color w:val="333333"/>
          <w:kern w:val="0"/>
          <w:sz w:val="25"/>
          <w:szCs w:val="25"/>
        </w:rPr>
        <w:t>加上</w:t>
      </w:r>
      <w:r w:rsidR="00506E55" w:rsidRPr="00506E55">
        <w:rPr>
          <w:rFonts w:ascii="微软雅黑" w:eastAsia="微软雅黑" w:hAnsi="微软雅黑" w:cs="宋体" w:hint="eastAsia"/>
          <w:color w:val="333333"/>
          <w:kern w:val="0"/>
          <w:sz w:val="25"/>
          <w:szCs w:val="25"/>
        </w:rPr>
        <w:t>股市大涨大跌，大量投资者赎回理财产品入市，给包括日金宝在内的互联网金融产品带来很大的流动性压力，只是泛亚没有那么幸运</w:t>
      </w:r>
    </w:p>
    <w:sectPr w:rsidR="00D136B3" w:rsidRPr="009C4FE3" w:rsidSect="00A147C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A0" w:rsidRDefault="004613A0" w:rsidP="00D136B3">
      <w:pPr>
        <w:spacing w:line="240" w:lineRule="auto"/>
        <w:ind w:left="315" w:right="315" w:firstLine="420"/>
      </w:pPr>
      <w:r>
        <w:separator/>
      </w:r>
    </w:p>
  </w:endnote>
  <w:endnote w:type="continuationSeparator" w:id="0">
    <w:p w:rsidR="004613A0" w:rsidRDefault="004613A0" w:rsidP="00D136B3">
      <w:pPr>
        <w:spacing w:line="240" w:lineRule="auto"/>
        <w:ind w:left="315" w:right="315"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6"/>
      <w:ind w:left="315" w:right="315"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6"/>
      <w:ind w:left="315" w:right="315"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6"/>
      <w:ind w:left="315" w:right="315"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A0" w:rsidRDefault="004613A0" w:rsidP="00D136B3">
      <w:pPr>
        <w:spacing w:line="240" w:lineRule="auto"/>
        <w:ind w:left="315" w:right="315" w:firstLine="420"/>
      </w:pPr>
      <w:r>
        <w:separator/>
      </w:r>
    </w:p>
  </w:footnote>
  <w:footnote w:type="continuationSeparator" w:id="0">
    <w:p w:rsidR="004613A0" w:rsidRDefault="004613A0" w:rsidP="00D136B3">
      <w:pPr>
        <w:spacing w:line="240" w:lineRule="auto"/>
        <w:ind w:left="315" w:right="315"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5"/>
      <w:ind w:left="315" w:right="315"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5"/>
      <w:ind w:left="315" w:right="315"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5"/>
      <w:ind w:left="315" w:right="315"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DAB"/>
    <w:rsid w:val="00044DAB"/>
    <w:rsid w:val="000455EF"/>
    <w:rsid w:val="00097E59"/>
    <w:rsid w:val="00102F4C"/>
    <w:rsid w:val="00183D83"/>
    <w:rsid w:val="001E05E8"/>
    <w:rsid w:val="00207FE2"/>
    <w:rsid w:val="002637CB"/>
    <w:rsid w:val="003562E9"/>
    <w:rsid w:val="004613A0"/>
    <w:rsid w:val="004D70BD"/>
    <w:rsid w:val="00506E55"/>
    <w:rsid w:val="00571A5C"/>
    <w:rsid w:val="005B258D"/>
    <w:rsid w:val="005F088E"/>
    <w:rsid w:val="006D7600"/>
    <w:rsid w:val="0074313C"/>
    <w:rsid w:val="0088052E"/>
    <w:rsid w:val="008831BA"/>
    <w:rsid w:val="008F400D"/>
    <w:rsid w:val="00906756"/>
    <w:rsid w:val="00950A00"/>
    <w:rsid w:val="009C4FE3"/>
    <w:rsid w:val="009D1525"/>
    <w:rsid w:val="00A147C2"/>
    <w:rsid w:val="00C379A5"/>
    <w:rsid w:val="00D136B3"/>
    <w:rsid w:val="00D64D3F"/>
    <w:rsid w:val="00E07226"/>
    <w:rsid w:val="00E316F6"/>
    <w:rsid w:val="00E5149B"/>
    <w:rsid w:val="00EE7E79"/>
    <w:rsid w:val="00F71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150" w:left="150" w:rightChars="150" w:right="150"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C2"/>
    <w:pPr>
      <w:widowControl w:val="0"/>
    </w:pPr>
  </w:style>
  <w:style w:type="paragraph" w:styleId="1">
    <w:name w:val="heading 1"/>
    <w:basedOn w:val="a"/>
    <w:link w:val="1Char"/>
    <w:uiPriority w:val="9"/>
    <w:qFormat/>
    <w:rsid w:val="006D7600"/>
    <w:pPr>
      <w:widowControl/>
      <w:spacing w:before="100" w:beforeAutospacing="1" w:after="100" w:afterAutospacing="1" w:line="240" w:lineRule="auto"/>
      <w:ind w:leftChars="0" w:left="0" w:rightChars="0" w:right="0" w:firstLineChars="0" w:firstLine="0"/>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DAB"/>
    <w:pPr>
      <w:widowControl/>
      <w:spacing w:before="100" w:beforeAutospacing="1" w:after="100" w:afterAutospacing="1" w:line="240" w:lineRule="auto"/>
      <w:ind w:leftChars="0" w:left="0" w:rightChars="0" w:right="0" w:firstLineChars="0" w:firstLine="0"/>
    </w:pPr>
    <w:rPr>
      <w:rFonts w:ascii="宋体" w:eastAsia="宋体" w:hAnsi="宋体" w:cs="宋体"/>
      <w:kern w:val="0"/>
      <w:sz w:val="24"/>
      <w:szCs w:val="24"/>
    </w:rPr>
  </w:style>
  <w:style w:type="character" w:styleId="a4">
    <w:name w:val="Strong"/>
    <w:basedOn w:val="a0"/>
    <w:uiPriority w:val="22"/>
    <w:qFormat/>
    <w:rsid w:val="00044DAB"/>
    <w:rPr>
      <w:b/>
      <w:bCs/>
    </w:rPr>
  </w:style>
  <w:style w:type="paragraph" w:styleId="a5">
    <w:name w:val="header"/>
    <w:basedOn w:val="a"/>
    <w:link w:val="Char"/>
    <w:uiPriority w:val="99"/>
    <w:semiHidden/>
    <w:unhideWhenUsed/>
    <w:rsid w:val="00D136B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D136B3"/>
    <w:rPr>
      <w:sz w:val="18"/>
      <w:szCs w:val="18"/>
    </w:rPr>
  </w:style>
  <w:style w:type="paragraph" w:styleId="a6">
    <w:name w:val="footer"/>
    <w:basedOn w:val="a"/>
    <w:link w:val="Char0"/>
    <w:uiPriority w:val="99"/>
    <w:semiHidden/>
    <w:unhideWhenUsed/>
    <w:rsid w:val="00D136B3"/>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D136B3"/>
    <w:rPr>
      <w:sz w:val="18"/>
      <w:szCs w:val="18"/>
    </w:rPr>
  </w:style>
  <w:style w:type="character" w:customStyle="1" w:styleId="1Char">
    <w:name w:val="标题 1 Char"/>
    <w:basedOn w:val="a0"/>
    <w:link w:val="1"/>
    <w:uiPriority w:val="9"/>
    <w:rsid w:val="006D7600"/>
    <w:rPr>
      <w:rFonts w:ascii="宋体" w:eastAsia="宋体" w:hAnsi="宋体" w:cs="宋体"/>
      <w:b/>
      <w:bCs/>
      <w:kern w:val="36"/>
      <w:szCs w:val="21"/>
    </w:rPr>
  </w:style>
  <w:style w:type="character" w:styleId="a7">
    <w:name w:val="Hyperlink"/>
    <w:basedOn w:val="a0"/>
    <w:uiPriority w:val="99"/>
    <w:semiHidden/>
    <w:unhideWhenUsed/>
    <w:rsid w:val="00506E55"/>
    <w:rPr>
      <w:color w:val="0000FF"/>
      <w:u w:val="single"/>
    </w:rPr>
  </w:style>
  <w:style w:type="paragraph" w:styleId="a8">
    <w:name w:val="Balloon Text"/>
    <w:basedOn w:val="a"/>
    <w:link w:val="Char1"/>
    <w:uiPriority w:val="99"/>
    <w:semiHidden/>
    <w:unhideWhenUsed/>
    <w:rsid w:val="009C4FE3"/>
    <w:pPr>
      <w:spacing w:line="240" w:lineRule="auto"/>
    </w:pPr>
    <w:rPr>
      <w:sz w:val="18"/>
      <w:szCs w:val="18"/>
    </w:rPr>
  </w:style>
  <w:style w:type="character" w:customStyle="1" w:styleId="Char1">
    <w:name w:val="批注框文本 Char"/>
    <w:basedOn w:val="a0"/>
    <w:link w:val="a8"/>
    <w:uiPriority w:val="99"/>
    <w:semiHidden/>
    <w:rsid w:val="009C4FE3"/>
    <w:rPr>
      <w:sz w:val="18"/>
      <w:szCs w:val="18"/>
    </w:rPr>
  </w:style>
</w:styles>
</file>

<file path=word/webSettings.xml><?xml version="1.0" encoding="utf-8"?>
<w:webSettings xmlns:r="http://schemas.openxmlformats.org/officeDocument/2006/relationships" xmlns:w="http://schemas.openxmlformats.org/wordprocessingml/2006/main">
  <w:divs>
    <w:div w:id="316610401">
      <w:bodyDiv w:val="1"/>
      <w:marLeft w:val="0"/>
      <w:marRight w:val="0"/>
      <w:marTop w:val="0"/>
      <w:marBottom w:val="0"/>
      <w:divBdr>
        <w:top w:val="none" w:sz="0" w:space="0" w:color="auto"/>
        <w:left w:val="none" w:sz="0" w:space="0" w:color="auto"/>
        <w:bottom w:val="none" w:sz="0" w:space="0" w:color="auto"/>
        <w:right w:val="none" w:sz="0" w:space="0" w:color="auto"/>
      </w:divBdr>
      <w:divsChild>
        <w:div w:id="1736708311">
          <w:marLeft w:val="0"/>
          <w:marRight w:val="0"/>
          <w:marTop w:val="0"/>
          <w:marBottom w:val="0"/>
          <w:divBdr>
            <w:top w:val="single" w:sz="6" w:space="0" w:color="DADADA"/>
            <w:left w:val="none" w:sz="0" w:space="0" w:color="auto"/>
            <w:bottom w:val="single" w:sz="6" w:space="0" w:color="DADADA"/>
            <w:right w:val="none" w:sz="0" w:space="0" w:color="auto"/>
          </w:divBdr>
          <w:divsChild>
            <w:div w:id="310712905">
              <w:marLeft w:val="0"/>
              <w:marRight w:val="0"/>
              <w:marTop w:val="0"/>
              <w:marBottom w:val="0"/>
              <w:divBdr>
                <w:top w:val="none" w:sz="0" w:space="0" w:color="auto"/>
                <w:left w:val="none" w:sz="0" w:space="0" w:color="auto"/>
                <w:bottom w:val="none" w:sz="0" w:space="0" w:color="auto"/>
                <w:right w:val="none" w:sz="0" w:space="0" w:color="auto"/>
              </w:divBdr>
              <w:divsChild>
                <w:div w:id="200091588">
                  <w:marLeft w:val="0"/>
                  <w:marRight w:val="0"/>
                  <w:marTop w:val="0"/>
                  <w:marBottom w:val="0"/>
                  <w:divBdr>
                    <w:top w:val="none" w:sz="0" w:space="0" w:color="auto"/>
                    <w:left w:val="none" w:sz="0" w:space="0" w:color="auto"/>
                    <w:bottom w:val="none" w:sz="0" w:space="0" w:color="auto"/>
                    <w:right w:val="single" w:sz="6" w:space="0" w:color="D8D8D8"/>
                  </w:divBdr>
                  <w:divsChild>
                    <w:div w:id="1508400708">
                      <w:marLeft w:val="0"/>
                      <w:marRight w:val="0"/>
                      <w:marTop w:val="0"/>
                      <w:marBottom w:val="0"/>
                      <w:divBdr>
                        <w:top w:val="none" w:sz="0" w:space="0" w:color="auto"/>
                        <w:left w:val="none" w:sz="0" w:space="0" w:color="auto"/>
                        <w:bottom w:val="none" w:sz="0" w:space="0" w:color="auto"/>
                        <w:right w:val="none" w:sz="0" w:space="0" w:color="auto"/>
                      </w:divBdr>
                      <w:divsChild>
                        <w:div w:id="1295595479">
                          <w:marLeft w:val="0"/>
                          <w:marRight w:val="0"/>
                          <w:marTop w:val="0"/>
                          <w:marBottom w:val="0"/>
                          <w:divBdr>
                            <w:top w:val="none" w:sz="0" w:space="0" w:color="auto"/>
                            <w:left w:val="none" w:sz="0" w:space="0" w:color="auto"/>
                            <w:bottom w:val="none" w:sz="0" w:space="0" w:color="auto"/>
                            <w:right w:val="none" w:sz="0" w:space="0" w:color="auto"/>
                          </w:divBdr>
                          <w:divsChild>
                            <w:div w:id="8999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161843">
      <w:bodyDiv w:val="1"/>
      <w:marLeft w:val="0"/>
      <w:marRight w:val="0"/>
      <w:marTop w:val="0"/>
      <w:marBottom w:val="0"/>
      <w:divBdr>
        <w:top w:val="none" w:sz="0" w:space="0" w:color="auto"/>
        <w:left w:val="none" w:sz="0" w:space="0" w:color="auto"/>
        <w:bottom w:val="none" w:sz="0" w:space="0" w:color="auto"/>
        <w:right w:val="none" w:sz="0" w:space="0" w:color="auto"/>
      </w:divBdr>
    </w:div>
    <w:div w:id="1267738825">
      <w:bodyDiv w:val="1"/>
      <w:marLeft w:val="0"/>
      <w:marRight w:val="0"/>
      <w:marTop w:val="0"/>
      <w:marBottom w:val="0"/>
      <w:divBdr>
        <w:top w:val="none" w:sz="0" w:space="0" w:color="auto"/>
        <w:left w:val="none" w:sz="0" w:space="0" w:color="auto"/>
        <w:bottom w:val="none" w:sz="0" w:space="0" w:color="auto"/>
        <w:right w:val="none" w:sz="0" w:space="0" w:color="auto"/>
      </w:divBdr>
    </w:div>
    <w:div w:id="2018580953">
      <w:bodyDiv w:val="1"/>
      <w:marLeft w:val="0"/>
      <w:marRight w:val="0"/>
      <w:marTop w:val="0"/>
      <w:marBottom w:val="0"/>
      <w:divBdr>
        <w:top w:val="none" w:sz="0" w:space="0" w:color="auto"/>
        <w:left w:val="none" w:sz="0" w:space="0" w:color="auto"/>
        <w:bottom w:val="none" w:sz="0" w:space="0" w:color="auto"/>
        <w:right w:val="none" w:sz="0" w:space="0" w:color="auto"/>
      </w:divBdr>
      <w:divsChild>
        <w:div w:id="1065836427">
          <w:marLeft w:val="-7748"/>
          <w:marRight w:val="0"/>
          <w:marTop w:val="0"/>
          <w:marBottom w:val="0"/>
          <w:divBdr>
            <w:top w:val="single" w:sz="6" w:space="0" w:color="CCCCCC"/>
            <w:left w:val="single" w:sz="6" w:space="0" w:color="CCCCCC"/>
            <w:bottom w:val="single" w:sz="6" w:space="0" w:color="CCCCCC"/>
            <w:right w:val="single" w:sz="6" w:space="0" w:color="CCCCCC"/>
          </w:divBdr>
          <w:divsChild>
            <w:div w:id="765804784">
              <w:marLeft w:val="0"/>
              <w:marRight w:val="0"/>
              <w:marTop w:val="0"/>
              <w:marBottom w:val="0"/>
              <w:divBdr>
                <w:top w:val="none" w:sz="0" w:space="0" w:color="auto"/>
                <w:left w:val="none" w:sz="0" w:space="0" w:color="auto"/>
                <w:bottom w:val="none" w:sz="0" w:space="0" w:color="auto"/>
                <w:right w:val="none" w:sz="0" w:space="0" w:color="auto"/>
              </w:divBdr>
              <w:divsChild>
                <w:div w:id="2024430596">
                  <w:marLeft w:val="0"/>
                  <w:marRight w:val="0"/>
                  <w:marTop w:val="0"/>
                  <w:marBottom w:val="0"/>
                  <w:divBdr>
                    <w:top w:val="none" w:sz="0" w:space="0" w:color="auto"/>
                    <w:left w:val="none" w:sz="0" w:space="0" w:color="auto"/>
                    <w:bottom w:val="none" w:sz="0" w:space="0" w:color="auto"/>
                    <w:right w:val="none" w:sz="0" w:space="0" w:color="auto"/>
                  </w:divBdr>
                  <w:divsChild>
                    <w:div w:id="1982072986">
                      <w:marLeft w:val="157"/>
                      <w:marRight w:val="157"/>
                      <w:marTop w:val="157"/>
                      <w:marBottom w:val="157"/>
                      <w:divBdr>
                        <w:top w:val="none" w:sz="0" w:space="0" w:color="auto"/>
                        <w:left w:val="none" w:sz="0" w:space="0" w:color="auto"/>
                        <w:bottom w:val="none" w:sz="0" w:space="0" w:color="auto"/>
                        <w:right w:val="none" w:sz="0" w:space="0" w:color="auto"/>
                      </w:divBdr>
                      <w:divsChild>
                        <w:div w:id="283393909">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sChild>
        </w:div>
      </w:divsChild>
    </w:div>
    <w:div w:id="2061590369">
      <w:bodyDiv w:val="1"/>
      <w:marLeft w:val="0"/>
      <w:marRight w:val="0"/>
      <w:marTop w:val="0"/>
      <w:marBottom w:val="0"/>
      <w:divBdr>
        <w:top w:val="none" w:sz="0" w:space="0" w:color="auto"/>
        <w:left w:val="none" w:sz="0" w:space="0" w:color="auto"/>
        <w:bottom w:val="none" w:sz="0" w:space="0" w:color="auto"/>
        <w:right w:val="none" w:sz="0" w:space="0" w:color="auto"/>
      </w:divBdr>
      <w:divsChild>
        <w:div w:id="1570573663">
          <w:marLeft w:val="0"/>
          <w:marRight w:val="0"/>
          <w:marTop w:val="0"/>
          <w:marBottom w:val="0"/>
          <w:divBdr>
            <w:top w:val="none" w:sz="0" w:space="0" w:color="auto"/>
            <w:left w:val="none" w:sz="0" w:space="0" w:color="auto"/>
            <w:bottom w:val="none" w:sz="0" w:space="0" w:color="auto"/>
            <w:right w:val="none" w:sz="0" w:space="0" w:color="auto"/>
          </w:divBdr>
          <w:divsChild>
            <w:div w:id="919800922">
              <w:marLeft w:val="0"/>
              <w:marRight w:val="0"/>
              <w:marTop w:val="0"/>
              <w:marBottom w:val="0"/>
              <w:divBdr>
                <w:top w:val="none" w:sz="0" w:space="0" w:color="auto"/>
                <w:left w:val="none" w:sz="0" w:space="0" w:color="auto"/>
                <w:bottom w:val="none" w:sz="0" w:space="0" w:color="auto"/>
                <w:right w:val="none" w:sz="0" w:space="0" w:color="auto"/>
              </w:divBdr>
              <w:divsChild>
                <w:div w:id="1379475887">
                  <w:marLeft w:val="0"/>
                  <w:marRight w:val="0"/>
                  <w:marTop w:val="0"/>
                  <w:marBottom w:val="0"/>
                  <w:divBdr>
                    <w:top w:val="none" w:sz="0" w:space="0" w:color="auto"/>
                    <w:left w:val="none" w:sz="0" w:space="0" w:color="auto"/>
                    <w:bottom w:val="none" w:sz="0" w:space="0" w:color="auto"/>
                    <w:right w:val="none" w:sz="0" w:space="0" w:color="auto"/>
                  </w:divBdr>
                  <w:divsChild>
                    <w:div w:id="1324700697">
                      <w:marLeft w:val="0"/>
                      <w:marRight w:val="0"/>
                      <w:marTop w:val="0"/>
                      <w:marBottom w:val="0"/>
                      <w:divBdr>
                        <w:top w:val="none" w:sz="0" w:space="0" w:color="auto"/>
                        <w:left w:val="none" w:sz="0" w:space="0" w:color="auto"/>
                        <w:bottom w:val="none" w:sz="0" w:space="0" w:color="auto"/>
                        <w:right w:val="none" w:sz="0" w:space="0" w:color="auto"/>
                      </w:divBdr>
                      <w:divsChild>
                        <w:div w:id="15264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to.ifeng.com/news/finan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app.travel.ifeng.com/city_detail_415" TargetMode="External"/><Relationship Id="rId11" Type="http://schemas.openxmlformats.org/officeDocument/2006/relationships/hyperlink" Target="http://app.finance.ifeng.com/data/mac/jmxf.php"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baike.finance.ifeng.com/doc/1681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ar.auto.ifeng.com/series/2087/"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彭惜影/htsec</cp:lastModifiedBy>
  <cp:revision>12</cp:revision>
  <cp:lastPrinted>2016-04-21T08:54:00Z</cp:lastPrinted>
  <dcterms:created xsi:type="dcterms:W3CDTF">2016-04-21T08:33:00Z</dcterms:created>
  <dcterms:modified xsi:type="dcterms:W3CDTF">2018-02-06T03:10:00Z</dcterms:modified>
</cp:coreProperties>
</file>