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106"/>
        <w:jc w:val="center"/>
        <w:rPr>
          <w:rFonts w:hint="eastAsia" w:ascii="宋体" w:hAnsi="宋体" w:eastAsia="宋体" w:cs="宋体"/>
          <w:b/>
          <w:bCs/>
          <w:color w:val="1F4E79" w:themeColor="accent1" w:themeShade="80"/>
          <w:sz w:val="32"/>
          <w:szCs w:val="32"/>
          <w:shd w:val="clear" w:fill="FFFFFF"/>
        </w:rPr>
      </w:pPr>
      <w:bookmarkStart w:id="0" w:name="_GoBack"/>
      <w:r>
        <w:rPr>
          <w:rFonts w:hint="eastAsia" w:ascii="宋体" w:hAnsi="宋体" w:eastAsia="宋体" w:cs="宋体"/>
          <w:b/>
          <w:bCs/>
          <w:color w:val="1F4E79" w:themeColor="accent1" w:themeShade="80"/>
          <w:sz w:val="32"/>
          <w:szCs w:val="32"/>
          <w:shd w:val="clear" w:fill="FFFFFF"/>
        </w:rPr>
        <w:t>“理性投资，从我做起”投资者教育专项活动投教案例</w:t>
      </w:r>
      <w:r>
        <w:rPr>
          <w:rFonts w:hint="eastAsia" w:ascii="宋体" w:hAnsi="宋体" w:eastAsia="宋体" w:cs="宋体"/>
          <w:b/>
          <w:bCs/>
          <w:color w:val="1F4E79" w:themeColor="accent1" w:themeShade="80"/>
          <w:sz w:val="32"/>
          <w:szCs w:val="32"/>
          <w:shd w:val="clear" w:fill="FFFFFF"/>
          <w:lang w:val="en-US" w:eastAsia="zh-CN"/>
        </w:rPr>
        <w:t>23</w:t>
      </w:r>
    </w:p>
    <w:p>
      <w:pPr>
        <w:pStyle w:val="2"/>
        <w:jc w:val="center"/>
        <w:rPr>
          <w:rFonts w:hint="eastAsia"/>
        </w:rPr>
      </w:pPr>
      <w:r>
        <w:rPr>
          <w:rFonts w:hint="eastAsia"/>
        </w:rPr>
        <w:t>及时更新资料 避免无故受损</w:t>
      </w:r>
    </w:p>
    <w:bookmarkEnd w:id="0"/>
    <w:p>
      <w:pPr>
        <w:pStyle w:val="2"/>
        <w:numPr>
          <w:ilvl w:val="0"/>
          <w:numId w:val="1"/>
        </w:numPr>
        <w:jc w:val="both"/>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案例概述</w:t>
      </w:r>
    </w:p>
    <w:p>
      <w:pPr>
        <w:pStyle w:val="2"/>
        <w:pageBreakBefore w:val="0"/>
        <w:widowControl w:val="0"/>
        <w:numPr>
          <w:numId w:val="0"/>
        </w:numPr>
        <w:kinsoku/>
        <w:wordWrap/>
        <w:overflowPunct/>
        <w:topLinePunct w:val="0"/>
        <w:autoSpaceDE/>
        <w:autoSpaceDN/>
        <w:bidi w:val="0"/>
        <w:adjustRightInd w:val="0"/>
        <w:snapToGrid w:val="0"/>
        <w:spacing w:line="336" w:lineRule="auto"/>
        <w:ind w:left="0" w:leftChars="0" w:right="0" w:rightChars="0" w:firstLine="480" w:firstLineChars="200"/>
        <w:jc w:val="both"/>
        <w:textAlignment w:val="auto"/>
        <w:rPr>
          <w:rFonts w:hint="eastAsia" w:ascii="微软雅黑" w:hAnsi="微软雅黑" w:eastAsia="微软雅黑" w:cs="微软雅黑"/>
          <w:b w:val="0"/>
          <w:kern w:val="2"/>
          <w:sz w:val="24"/>
          <w:szCs w:val="24"/>
          <w:lang w:val="en-US" w:eastAsia="zh-CN" w:bidi="ar-SA"/>
        </w:rPr>
      </w:pPr>
      <w:r>
        <w:rPr>
          <w:rFonts w:hint="eastAsia" w:ascii="微软雅黑" w:hAnsi="微软雅黑" w:eastAsia="微软雅黑" w:cs="微软雅黑"/>
          <w:b w:val="0"/>
          <w:kern w:val="2"/>
          <w:sz w:val="24"/>
          <w:szCs w:val="24"/>
          <w:lang w:val="en-US" w:eastAsia="zh-CN" w:bidi="ar-SA"/>
        </w:rPr>
        <w:t>李先生在证券市场投资几年后，发现周围的朋友都开始转战期货市场。了解到期货市场的T+0交易方式和可以卖空的操作模式后，便在朋友的介绍下到期货公司开户，开户期间开户人员向李先生揭示了期货投资存在风险，也介绍了期货不同于证券的各项制度，例如每日无负债结算、强制平仓措施等等。同时，开户人员留下了李先生联系方式便于工作人员在开户后回访和必要时的紧急通知。</w:t>
      </w:r>
    </w:p>
    <w:p>
      <w:pPr>
        <w:pageBreakBefore w:val="0"/>
        <w:widowControl w:val="0"/>
        <w:kinsoku/>
        <w:wordWrap/>
        <w:overflowPunct/>
        <w:topLinePunct w:val="0"/>
        <w:autoSpaceDE/>
        <w:autoSpaceDN/>
        <w:bidi w:val="0"/>
        <w:adjustRightInd w:val="0"/>
        <w:snapToGrid w:val="0"/>
        <w:spacing w:line="336" w:lineRule="auto"/>
        <w:ind w:left="0" w:leftChars="0" w:right="0" w:right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随后李先生按自己的方式进行期货投资，几年下来李先生对期货市场越来越熟悉，仓位操作从开始轻仓20%～30%到后来时不时持仓超过80%甚至90%，不过几次重仓操作李先生都赚了不少钱。因此，李先生对于自己的重仓操作越来越放松警惕。虽然客户经理时不时打来电话提醒李先生这样操作的风险，不过李先生对于自己几年的投资经验十分有信心，自觉完全可以驾驭这种操作方式。此外，李先生也觉得只有资金的较高利用率才有更高投资回报率。对于客户经理的提醒，李先生没有放在心上。</w:t>
      </w:r>
    </w:p>
    <w:p>
      <w:pPr>
        <w:pageBreakBefore w:val="0"/>
        <w:widowControl w:val="0"/>
        <w:kinsoku/>
        <w:wordWrap/>
        <w:overflowPunct/>
        <w:topLinePunct w:val="0"/>
        <w:autoSpaceDE/>
        <w:autoSpaceDN/>
        <w:bidi w:val="0"/>
        <w:adjustRightInd w:val="0"/>
        <w:snapToGrid w:val="0"/>
        <w:spacing w:line="336" w:lineRule="auto"/>
        <w:ind w:left="0" w:leftChars="0" w:right="0" w:right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某一天，李先生突然发现自己账户持仓被期货公司强行平仓，造成了不小损失。愤怒的李先生要期货公司给个说法。期货公司告知他，在强行平仓前几天，期货行剧烈波动，李先生的账户由于持仓较重出现保证金不足的问题，需要李先生追加保证金。可是期货公司拨打李先生开户时留下的联系方式，发现手机已停机，联系了李先生的客户经理，但这几天李先生出差外地处理其他业务，客户经理也无法联系到他。</w:t>
      </w:r>
    </w:p>
    <w:p>
      <w:pPr>
        <w:pageBreakBefore w:val="0"/>
        <w:widowControl w:val="0"/>
        <w:kinsoku/>
        <w:wordWrap/>
        <w:overflowPunct/>
        <w:topLinePunct w:val="0"/>
        <w:autoSpaceDE/>
        <w:autoSpaceDN/>
        <w:bidi w:val="0"/>
        <w:adjustRightInd w:val="0"/>
        <w:snapToGrid w:val="0"/>
        <w:spacing w:line="336" w:lineRule="auto"/>
        <w:ind w:left="0" w:leftChars="0" w:right="0" w:right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至于手机停机的原因，原来是一个月前李先生过生日，李先生的儿子看到联通营业厅里的0元购机套餐，觉得比较划算，就订了一个送给父亲做生日礼物，李先生有了新手机，觉得原来移动的号码留着也是浪费，通知了亲戚朋友自己换号码后就办了停机的手续，也没想到通知期货公司自己更换了联系方式。结果没想到居然出现了这样的后果，李先生只能后悔不已、自认倒霉。</w:t>
      </w:r>
    </w:p>
    <w:p>
      <w:pPr>
        <w:pageBreakBefore w:val="0"/>
        <w:widowControl w:val="0"/>
        <w:kinsoku/>
        <w:wordWrap/>
        <w:overflowPunct/>
        <w:topLinePunct w:val="0"/>
        <w:autoSpaceDE/>
        <w:autoSpaceDN/>
        <w:bidi w:val="0"/>
        <w:adjustRightInd w:val="0"/>
        <w:snapToGrid w:val="0"/>
        <w:spacing w:line="336" w:lineRule="auto"/>
        <w:ind w:left="0" w:leftChars="0" w:right="0" w:rightChars="0"/>
        <w:jc w:val="both"/>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二、案例剖析</w:t>
      </w:r>
    </w:p>
    <w:p>
      <w:pPr>
        <w:pageBreakBefore w:val="0"/>
        <w:widowControl w:val="0"/>
        <w:kinsoku/>
        <w:wordWrap/>
        <w:overflowPunct/>
        <w:topLinePunct w:val="0"/>
        <w:autoSpaceDE/>
        <w:autoSpaceDN/>
        <w:bidi w:val="0"/>
        <w:adjustRightInd w:val="0"/>
        <w:snapToGrid w:val="0"/>
        <w:spacing w:line="336" w:lineRule="auto"/>
        <w:ind w:left="0" w:leftChars="0" w:right="0" w:right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根据交易所规则，期货交易实行每日无负债结算制度，每一笔交易均须交纳一定比例的保证金，当市场发生不利变化，以及进入交割月时，会员或客户还应根据交易规则和合约的约定，存入追加保证金。如果会员或客户未在规定时间内履行追加保证金的义务，交易所就有权对会员、期货公司就有权对客户所持有的仓位实施强行平仓，强制平仓的后果由会员或客户来承担。</w:t>
      </w:r>
    </w:p>
    <w:p>
      <w:pPr>
        <w:pageBreakBefore w:val="0"/>
        <w:widowControl w:val="0"/>
        <w:kinsoku/>
        <w:wordWrap/>
        <w:overflowPunct/>
        <w:topLinePunct w:val="0"/>
        <w:autoSpaceDE/>
        <w:autoSpaceDN/>
        <w:bidi w:val="0"/>
        <w:adjustRightInd w:val="0"/>
        <w:snapToGrid w:val="0"/>
        <w:spacing w:line="336" w:lineRule="auto"/>
        <w:ind w:left="0" w:leftChars="0" w:right="0" w:right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在此案例中期货公司履行了告知义务，李先生由于遗忘了将更换后的联系方式告知期货公司，因而无法及时获得期货公司发出的风险预警而蒙受损失，损失理应由李先生自行承担。</w:t>
      </w:r>
    </w:p>
    <w:p>
      <w:pPr>
        <w:pageBreakBefore w:val="0"/>
        <w:widowControl w:val="0"/>
        <w:kinsoku/>
        <w:wordWrap/>
        <w:overflowPunct/>
        <w:topLinePunct w:val="0"/>
        <w:autoSpaceDE/>
        <w:autoSpaceDN/>
        <w:bidi w:val="0"/>
        <w:adjustRightInd w:val="0"/>
        <w:snapToGrid w:val="0"/>
        <w:spacing w:line="336" w:lineRule="auto"/>
        <w:ind w:left="0" w:leftChars="0" w:right="0" w:rightChars="0"/>
        <w:jc w:val="both"/>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三、启发警示</w:t>
      </w:r>
    </w:p>
    <w:p>
      <w:pPr>
        <w:pageBreakBefore w:val="0"/>
        <w:widowControl w:val="0"/>
        <w:kinsoku/>
        <w:wordWrap/>
        <w:overflowPunct/>
        <w:topLinePunct w:val="0"/>
        <w:autoSpaceDE/>
        <w:autoSpaceDN/>
        <w:bidi w:val="0"/>
        <w:adjustRightInd w:val="0"/>
        <w:snapToGrid w:val="0"/>
        <w:spacing w:line="336" w:lineRule="auto"/>
        <w:ind w:left="0" w:leftChars="0" w:right="0" w:right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由于期货市场实行强行平仓制度，为避免出现不必要的损失，投资者应做好以下三点：</w:t>
      </w:r>
    </w:p>
    <w:p>
      <w:pPr>
        <w:pageBreakBefore w:val="0"/>
        <w:widowControl w:val="0"/>
        <w:kinsoku/>
        <w:wordWrap/>
        <w:overflowPunct/>
        <w:topLinePunct w:val="0"/>
        <w:autoSpaceDE/>
        <w:autoSpaceDN/>
        <w:bidi w:val="0"/>
        <w:adjustRightInd w:val="0"/>
        <w:snapToGrid w:val="0"/>
        <w:spacing w:line="336" w:lineRule="auto"/>
        <w:ind w:left="0" w:leftChars="0" w:right="0" w:right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1、当个人信息如联系方式、地址等发生变更时，应当及时通知期货公司。</w:t>
      </w:r>
    </w:p>
    <w:p>
      <w:pPr>
        <w:pageBreakBefore w:val="0"/>
        <w:widowControl w:val="0"/>
        <w:kinsoku/>
        <w:wordWrap/>
        <w:overflowPunct/>
        <w:topLinePunct w:val="0"/>
        <w:autoSpaceDE/>
        <w:autoSpaceDN/>
        <w:bidi w:val="0"/>
        <w:adjustRightInd w:val="0"/>
        <w:snapToGrid w:val="0"/>
        <w:spacing w:line="336" w:lineRule="auto"/>
        <w:ind w:left="0" w:leftChars="0" w:right="0" w:right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2、在出差、休假等无法有效访问账户期间，尽量不要在账户中重仓持有，以免发生风险时无法及时通过相关操作来控制风险。如无法避免持有重仓，建议通过手机掌上期货监控和操作，或者委托他人帮忙管理账户，防止不可控风险的产生。</w:t>
      </w:r>
    </w:p>
    <w:p>
      <w:pPr>
        <w:pageBreakBefore w:val="0"/>
        <w:widowControl w:val="0"/>
        <w:kinsoku/>
        <w:wordWrap/>
        <w:overflowPunct/>
        <w:topLinePunct w:val="0"/>
        <w:autoSpaceDE/>
        <w:autoSpaceDN/>
        <w:bidi w:val="0"/>
        <w:adjustRightInd w:val="0"/>
        <w:snapToGrid w:val="0"/>
        <w:spacing w:line="336" w:lineRule="auto"/>
        <w:ind w:left="0" w:leftChars="0" w:right="0" w:right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3、当投资者需要更改个人信息时，建议最好向期货公司进行书面申请备案，而不仅仅是随意地口头通知一下客户经理，便于保障自身合法权益。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BA6F5A"/>
    <w:multiLevelType w:val="singleLevel"/>
    <w:tmpl w:val="A2BA6F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BD47AC"/>
    <w:rsid w:val="606F7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张晓芙</cp:lastModifiedBy>
  <dcterms:modified xsi:type="dcterms:W3CDTF">2018-04-13T05:35:00Z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