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b/>
          <w:bCs/>
          <w:sz w:val="30"/>
          <w:szCs w:val="30"/>
        </w:rPr>
      </w:pPr>
      <w:r>
        <w:rPr>
          <w:rFonts w:hint="eastAsia" w:ascii="宋体" w:hAnsi="宋体"/>
          <w:b/>
          <w:bCs/>
          <w:sz w:val="30"/>
          <w:szCs w:val="30"/>
        </w:rPr>
        <w:t>海通证券积极开展反洗钱宣传活动：</w:t>
      </w:r>
    </w:p>
    <w:p>
      <w:pPr>
        <w:adjustRightInd w:val="0"/>
        <w:snapToGrid w:val="0"/>
        <w:spacing w:line="360" w:lineRule="auto"/>
        <w:jc w:val="center"/>
        <w:rPr>
          <w:rFonts w:hint="eastAsia" w:ascii="华文仿宋" w:hAnsi="华文仿宋" w:eastAsia="华文仿宋"/>
          <w:b/>
          <w:bCs/>
          <w:sz w:val="30"/>
          <w:szCs w:val="30"/>
        </w:rPr>
      </w:pPr>
      <w:r>
        <w:rPr>
          <w:rFonts w:hint="eastAsia" w:ascii="宋体" w:hAnsi="宋体"/>
          <w:b/>
          <w:bCs/>
          <w:sz w:val="30"/>
          <w:szCs w:val="30"/>
        </w:rPr>
        <w:t>加强账户管理 完善反洗钱、反恐怖融资、反逃税监管体系</w:t>
      </w:r>
    </w:p>
    <w:p>
      <w:pPr>
        <w:adjustRightInd w:val="0"/>
        <w:snapToGrid w:val="0"/>
        <w:spacing w:line="360" w:lineRule="auto"/>
        <w:rPr>
          <w:rFonts w:hint="eastAsia" w:ascii="华文仿宋" w:hAnsi="华文仿宋" w:eastAsia="华文仿宋"/>
          <w:sz w:val="30"/>
          <w:szCs w:val="30"/>
        </w:rPr>
      </w:pPr>
      <w:r>
        <w:rPr>
          <w:rFonts w:hint="eastAsia" w:ascii="宋体" w:hAnsi="宋体"/>
          <w:sz w:val="28"/>
          <w:szCs w:val="28"/>
        </w:rPr>
        <w:t>尊敬的客户：</w:t>
      </w:r>
    </w:p>
    <w:p>
      <w:pPr>
        <w:adjustRightInd w:val="0"/>
        <w:snapToGrid w:val="0"/>
        <w:spacing w:line="360" w:lineRule="auto"/>
        <w:ind w:firstLine="562" w:firstLineChars="201"/>
        <w:rPr>
          <w:rFonts w:hint="eastAsia" w:ascii="华文仿宋" w:hAnsi="华文仿宋" w:eastAsia="华文仿宋"/>
          <w:sz w:val="30"/>
          <w:szCs w:val="30"/>
        </w:rPr>
      </w:pPr>
      <w:r>
        <w:rPr>
          <w:rFonts w:hint="eastAsia" w:ascii="宋体" w:hAnsi="宋体"/>
          <w:sz w:val="28"/>
          <w:szCs w:val="28"/>
        </w:rPr>
        <w:t>根据中国人民银行要求，海通证券积极开展反洗钱宣传活动：加强账户管理 完善反洗钱、反恐怖融资、反逃税监管体系。请积极配合证券公司进行反洗钱客户身份识别工作，保护自身合法权益，维护社会公平正义。</w:t>
      </w:r>
    </w:p>
    <w:p>
      <w:pPr>
        <w:adjustRightInd w:val="0"/>
        <w:snapToGrid w:val="0"/>
        <w:spacing w:line="360" w:lineRule="auto"/>
        <w:ind w:firstLine="562" w:firstLineChars="201"/>
        <w:rPr>
          <w:rFonts w:hint="eastAsia" w:ascii="宋体" w:hAnsi="宋体"/>
          <w:sz w:val="28"/>
          <w:szCs w:val="28"/>
        </w:rPr>
      </w:pPr>
      <w:r>
        <w:rPr>
          <w:rFonts w:hint="eastAsia" w:ascii="宋体" w:hAnsi="宋体"/>
          <w:sz w:val="28"/>
          <w:szCs w:val="28"/>
        </w:rPr>
        <w:t>根据新修订的《居民身份证法》规定，第一代居民身份证自2013年1月1日起停止使用，如您在我司留存身份证件为一代身份证或开户留存的身份证件信息过期以及联系方式发生变化的，请及时更新。请关注《海通证券股份有限公司关于对留存身份证件过期账户采取限制措施的公告》（见附件），若您的身份证件过期3月仍未更新，我司将限制您的资金转出。</w:t>
      </w:r>
    </w:p>
    <w:p>
      <w:pPr>
        <w:adjustRightInd w:val="0"/>
        <w:snapToGrid w:val="0"/>
        <w:spacing w:line="360" w:lineRule="auto"/>
        <w:ind w:firstLine="562" w:firstLineChars="201"/>
        <w:rPr>
          <w:rFonts w:hint="eastAsia" w:ascii="宋体" w:hAnsi="宋体"/>
          <w:sz w:val="28"/>
          <w:szCs w:val="28"/>
        </w:rPr>
      </w:pPr>
      <w:r>
        <w:rPr>
          <w:rFonts w:hint="eastAsia" w:ascii="宋体" w:hAnsi="宋体"/>
          <w:sz w:val="28"/>
          <w:szCs w:val="28"/>
        </w:rPr>
        <w:t>本次反洗钱相关宣传资料，请您登陆海通证券网站（www.htsec.com）“反洗钱专栏”进一步详细了解。</w:t>
      </w:r>
    </w:p>
    <w:p>
      <w:pPr>
        <w:adjustRightInd w:val="0"/>
        <w:snapToGrid w:val="0"/>
        <w:spacing w:line="360" w:lineRule="auto"/>
        <w:ind w:firstLine="562" w:firstLineChars="201"/>
        <w:rPr>
          <w:rFonts w:hint="eastAsia" w:ascii="宋体" w:hAnsi="宋体"/>
          <w:sz w:val="28"/>
          <w:szCs w:val="28"/>
        </w:rPr>
      </w:pPr>
      <w:r>
        <w:rPr>
          <w:rFonts w:hint="eastAsia" w:ascii="宋体" w:hAnsi="宋体"/>
          <w:sz w:val="28"/>
          <w:szCs w:val="28"/>
        </w:rPr>
        <w:t>抵制洗钱，人人有责！</w:t>
      </w:r>
    </w:p>
    <w:p>
      <w:pPr>
        <w:adjustRightInd w:val="0"/>
        <w:snapToGrid w:val="0"/>
        <w:spacing w:line="360" w:lineRule="auto"/>
        <w:ind w:firstLine="562" w:firstLineChars="201"/>
        <w:rPr>
          <w:rFonts w:hint="eastAsia" w:ascii="宋体" w:hAnsi="宋体"/>
          <w:sz w:val="28"/>
          <w:szCs w:val="28"/>
        </w:rPr>
      </w:pPr>
      <w:r>
        <w:rPr>
          <w:rFonts w:hint="eastAsia" w:ascii="宋体" w:hAnsi="宋体"/>
          <w:sz w:val="28"/>
          <w:szCs w:val="28"/>
        </w:rPr>
        <w:t xml:space="preserve">感谢您对我公司履行法定义务的反洗钱工作的支持和配合 </w:t>
      </w:r>
    </w:p>
    <w:p>
      <w:pPr>
        <w:adjustRightInd w:val="0"/>
        <w:snapToGrid w:val="0"/>
        <w:spacing w:line="360" w:lineRule="auto"/>
        <w:ind w:firstLine="4902" w:firstLineChars="1751"/>
        <w:rPr>
          <w:rFonts w:hint="eastAsia" w:ascii="宋体" w:hAnsi="宋体"/>
          <w:sz w:val="28"/>
          <w:szCs w:val="28"/>
        </w:rPr>
      </w:pPr>
      <w:r>
        <w:rPr>
          <w:rFonts w:hint="eastAsia" w:ascii="宋体" w:hAnsi="宋体"/>
          <w:sz w:val="28"/>
          <w:szCs w:val="28"/>
        </w:rPr>
        <w:t>海通证券股份有限公司</w:t>
      </w:r>
    </w:p>
    <w:p>
      <w:pPr>
        <w:adjustRightInd w:val="0"/>
        <w:snapToGrid w:val="0"/>
        <w:spacing w:line="360" w:lineRule="auto"/>
        <w:ind w:firstLine="4480" w:firstLineChars="1600"/>
        <w:rPr>
          <w:rFonts w:hint="eastAsia" w:ascii="宋体" w:hAnsi="宋体"/>
          <w:sz w:val="28"/>
          <w:szCs w:val="28"/>
        </w:rPr>
      </w:pPr>
      <w:r>
        <w:rPr>
          <w:rFonts w:hint="eastAsia" w:ascii="宋体" w:hAnsi="宋体"/>
          <w:sz w:val="28"/>
          <w:szCs w:val="28"/>
          <w:lang w:eastAsia="zh-CN"/>
        </w:rPr>
        <w:t>兰州万新南路</w:t>
      </w:r>
      <w:r>
        <w:rPr>
          <w:rFonts w:hint="eastAsia" w:ascii="宋体" w:hAnsi="宋体"/>
          <w:sz w:val="28"/>
          <w:szCs w:val="28"/>
        </w:rPr>
        <w:t>证券营业部</w:t>
      </w:r>
    </w:p>
    <w:p>
      <w:pPr>
        <w:adjustRightInd w:val="0"/>
        <w:snapToGrid w:val="0"/>
        <w:spacing w:line="360" w:lineRule="auto"/>
        <w:ind w:firstLine="5322" w:firstLineChars="1901"/>
        <w:rPr>
          <w:rFonts w:hint="eastAsia" w:ascii="宋体" w:hAnsi="宋体"/>
          <w:sz w:val="28"/>
          <w:szCs w:val="28"/>
        </w:rPr>
      </w:pPr>
      <w:r>
        <w:rPr>
          <w:rFonts w:hint="eastAsia" w:ascii="宋体" w:hAnsi="宋体"/>
          <w:sz w:val="28"/>
          <w:szCs w:val="28"/>
        </w:rPr>
        <w:t>2018年</w:t>
      </w:r>
      <w:r>
        <w:rPr>
          <w:rFonts w:hint="eastAsia" w:ascii="宋体" w:hAnsi="宋体"/>
          <w:sz w:val="28"/>
          <w:szCs w:val="28"/>
          <w:lang w:val="en-US" w:eastAsia="zh-CN"/>
        </w:rPr>
        <w:t>8</w:t>
      </w:r>
      <w:r>
        <w:rPr>
          <w:rFonts w:hint="eastAsia" w:ascii="宋体" w:hAnsi="宋体"/>
          <w:sz w:val="28"/>
          <w:szCs w:val="28"/>
        </w:rPr>
        <w:t>月</w:t>
      </w:r>
      <w:r>
        <w:rPr>
          <w:rFonts w:hint="eastAsia" w:ascii="宋体" w:hAnsi="宋体"/>
          <w:sz w:val="28"/>
          <w:szCs w:val="28"/>
          <w:lang w:val="en-US" w:eastAsia="zh-CN"/>
        </w:rPr>
        <w:t>16</w:t>
      </w:r>
      <w:r>
        <w:rPr>
          <w:rFonts w:hint="eastAsia" w:ascii="宋体" w:hAnsi="宋体"/>
          <w:sz w:val="28"/>
          <w:szCs w:val="28"/>
        </w:rPr>
        <w:t>日</w:t>
      </w:r>
    </w:p>
    <w:p>
      <w:pPr>
        <w:adjustRightInd w:val="0"/>
        <w:snapToGrid w:val="0"/>
        <w:spacing w:line="360" w:lineRule="auto"/>
        <w:rPr>
          <w:rFonts w:hint="eastAsia" w:ascii="宋体" w:hAnsi="宋体"/>
          <w:sz w:val="28"/>
          <w:szCs w:val="28"/>
        </w:rPr>
      </w:pPr>
    </w:p>
    <w:p>
      <w:pPr>
        <w:adjustRightInd w:val="0"/>
        <w:snapToGrid w:val="0"/>
        <w:spacing w:line="360" w:lineRule="auto"/>
        <w:rPr>
          <w:rFonts w:hint="eastAsia" w:ascii="宋体" w:hAnsi="宋体"/>
          <w:sz w:val="28"/>
          <w:szCs w:val="28"/>
        </w:rPr>
      </w:pPr>
    </w:p>
    <w:p>
      <w:pPr>
        <w:adjustRightInd w:val="0"/>
        <w:snapToGrid w:val="0"/>
        <w:spacing w:line="360" w:lineRule="auto"/>
        <w:rPr>
          <w:rFonts w:hint="eastAsia" w:ascii="宋体" w:hAnsi="宋体"/>
          <w:sz w:val="28"/>
          <w:szCs w:val="28"/>
        </w:rPr>
      </w:pPr>
    </w:p>
    <w:p>
      <w:pPr>
        <w:adjustRightInd w:val="0"/>
        <w:snapToGrid w:val="0"/>
        <w:spacing w:line="360" w:lineRule="auto"/>
        <w:rPr>
          <w:rFonts w:hint="eastAsia" w:ascii="宋体" w:hAnsi="宋体"/>
          <w:sz w:val="28"/>
          <w:szCs w:val="28"/>
        </w:rPr>
      </w:pPr>
    </w:p>
    <w:p>
      <w:pPr>
        <w:adjustRightInd w:val="0"/>
        <w:snapToGrid w:val="0"/>
        <w:spacing w:line="360" w:lineRule="auto"/>
        <w:rPr>
          <w:rFonts w:hint="eastAsia" w:ascii="宋体" w:hAnsi="宋体"/>
          <w:sz w:val="28"/>
          <w:szCs w:val="28"/>
        </w:rPr>
      </w:pPr>
    </w:p>
    <w:p>
      <w:pPr>
        <w:adjustRightInd w:val="0"/>
        <w:snapToGrid w:val="0"/>
        <w:spacing w:line="360" w:lineRule="auto"/>
        <w:rPr>
          <w:rFonts w:hint="eastAsia" w:ascii="宋体" w:hAnsi="宋体"/>
          <w:sz w:val="28"/>
          <w:szCs w:val="28"/>
        </w:rPr>
      </w:pPr>
    </w:p>
    <w:p>
      <w:pPr>
        <w:adjustRightInd w:val="0"/>
        <w:snapToGrid w:val="0"/>
        <w:spacing w:line="360" w:lineRule="auto"/>
        <w:rPr>
          <w:rFonts w:hint="eastAsia" w:ascii="宋体" w:hAnsi="宋体"/>
          <w:sz w:val="28"/>
          <w:szCs w:val="28"/>
        </w:rPr>
      </w:pPr>
      <w:bookmarkStart w:id="0" w:name="_GoBack"/>
      <w:bookmarkEnd w:id="0"/>
      <w:r>
        <w:rPr>
          <w:rFonts w:hint="eastAsia" w:ascii="宋体" w:hAnsi="宋体"/>
          <w:sz w:val="28"/>
          <w:szCs w:val="28"/>
        </w:rPr>
        <w:t>附件：</w:t>
      </w:r>
    </w:p>
    <w:p>
      <w:pPr>
        <w:adjustRightInd w:val="0"/>
        <w:snapToGrid w:val="0"/>
        <w:spacing w:line="360" w:lineRule="auto"/>
        <w:jc w:val="center"/>
        <w:rPr>
          <w:rFonts w:hint="eastAsia" w:ascii="宋体" w:hAnsi="宋体"/>
          <w:b/>
          <w:sz w:val="24"/>
          <w:szCs w:val="28"/>
        </w:rPr>
      </w:pPr>
      <w:r>
        <w:rPr>
          <w:rFonts w:hint="eastAsia" w:ascii="宋体" w:hAnsi="宋体"/>
          <w:b/>
          <w:sz w:val="24"/>
          <w:szCs w:val="28"/>
        </w:rPr>
        <w:t>海通证券股份有限公司关于对留存身份证件过期账户采取限制措施的公告</w:t>
      </w:r>
    </w:p>
    <w:p>
      <w:pPr>
        <w:adjustRightInd w:val="0"/>
        <w:snapToGrid w:val="0"/>
        <w:spacing w:line="360" w:lineRule="auto"/>
        <w:ind w:firstLine="482" w:firstLineChars="201"/>
        <w:rPr>
          <w:rFonts w:hint="eastAsia" w:ascii="宋体" w:hAnsi="宋体"/>
          <w:sz w:val="24"/>
          <w:szCs w:val="28"/>
        </w:rPr>
      </w:pPr>
      <w:r>
        <w:rPr>
          <w:rFonts w:hint="eastAsia" w:ascii="宋体" w:hAnsi="宋体"/>
          <w:sz w:val="24"/>
          <w:szCs w:val="28"/>
        </w:rPr>
        <w:t xml:space="preserve">尊敬的客户： </w:t>
      </w:r>
    </w:p>
    <w:p>
      <w:pPr>
        <w:adjustRightInd w:val="0"/>
        <w:snapToGrid w:val="0"/>
        <w:spacing w:line="360" w:lineRule="auto"/>
        <w:ind w:firstLine="482" w:firstLineChars="201"/>
        <w:rPr>
          <w:rFonts w:hint="eastAsia" w:ascii="宋体" w:hAnsi="宋体"/>
          <w:sz w:val="24"/>
          <w:szCs w:val="28"/>
        </w:rPr>
      </w:pPr>
      <w:r>
        <w:rPr>
          <w:rFonts w:hint="eastAsia" w:ascii="宋体" w:hAnsi="宋体"/>
          <w:sz w:val="24"/>
          <w:szCs w:val="28"/>
        </w:rPr>
        <w:t xml:space="preserve">根据《中华人民共和国反洗钱法》、《金融机构客户身份识别和客户身份资料及交易记录保存管理办法》等法律法规规定，金融机构在与客户的业务关系存续期间，应当采取持续的客户身份识别措施，客户先前提交的身份证件或者身份证明文件已过有效期，没有在合理期限内更新且没有提出合理理由的，金融机构应中止为客户办理业务。为了依法履行反洗钱义务，我公司现将有关事项公告如下： </w:t>
      </w:r>
    </w:p>
    <w:p>
      <w:pPr>
        <w:adjustRightInd w:val="0"/>
        <w:snapToGrid w:val="0"/>
        <w:spacing w:line="360" w:lineRule="auto"/>
        <w:ind w:firstLine="482" w:firstLineChars="201"/>
        <w:rPr>
          <w:rFonts w:hint="eastAsia" w:ascii="宋体" w:hAnsi="宋体"/>
          <w:sz w:val="24"/>
          <w:szCs w:val="28"/>
        </w:rPr>
      </w:pPr>
      <w:r>
        <w:rPr>
          <w:rFonts w:hint="eastAsia" w:ascii="宋体" w:hAnsi="宋体"/>
          <w:sz w:val="24"/>
          <w:szCs w:val="28"/>
        </w:rPr>
        <w:t xml:space="preserve">一、如您是自然人投资者且开户时留存的身份证件已过期，或您是机构投资者且开户时留存的身份证明文件及相关证照已过期或到期未年检，请您在相关证件到期之日起三个月内到我公司开户营业部办理更新手续。 </w:t>
      </w:r>
    </w:p>
    <w:p>
      <w:pPr>
        <w:adjustRightInd w:val="0"/>
        <w:snapToGrid w:val="0"/>
        <w:spacing w:line="360" w:lineRule="auto"/>
        <w:ind w:firstLine="482" w:firstLineChars="201"/>
        <w:rPr>
          <w:rFonts w:hint="eastAsia" w:ascii="宋体" w:hAnsi="宋体"/>
          <w:sz w:val="24"/>
          <w:szCs w:val="28"/>
        </w:rPr>
      </w:pPr>
      <w:r>
        <w:rPr>
          <w:rFonts w:hint="eastAsia" w:ascii="宋体" w:hAnsi="宋体"/>
          <w:sz w:val="24"/>
          <w:szCs w:val="28"/>
        </w:rPr>
        <w:t xml:space="preserve">二、如您无法在相关证件到期之日起三个月内完成更新手续，请您在此期间内以书面方式（信函或传真）将您无法办理更新的合理理由及预计办理完成的时点告知我公司开户营业部，我们将根据您的情况做相应延期，原则上不超过10个工作日。 </w:t>
      </w:r>
    </w:p>
    <w:p>
      <w:pPr>
        <w:adjustRightInd w:val="0"/>
        <w:snapToGrid w:val="0"/>
        <w:spacing w:line="360" w:lineRule="auto"/>
        <w:ind w:firstLine="482" w:firstLineChars="201"/>
        <w:rPr>
          <w:rFonts w:hint="eastAsia" w:ascii="宋体" w:hAnsi="宋体"/>
          <w:sz w:val="24"/>
          <w:szCs w:val="28"/>
        </w:rPr>
      </w:pPr>
      <w:r>
        <w:rPr>
          <w:rFonts w:hint="eastAsia" w:ascii="宋体" w:hAnsi="宋体"/>
          <w:sz w:val="24"/>
          <w:szCs w:val="28"/>
        </w:rPr>
        <w:t>三、对在上述期间内未办理证件更新手续且未申请延期更新的证件过期客户账户，我公司将采取限制资金转出，限制办理转托管、撤销指定交易等柜台业务措施，直至完成更新手续。为保障您的相关交易顺利进行，请及时到证券营业部办理身份证件或身份证明文件的更新手续。</w:t>
      </w:r>
    </w:p>
    <w:p>
      <w:pPr>
        <w:adjustRightInd w:val="0"/>
        <w:snapToGrid w:val="0"/>
        <w:spacing w:line="360" w:lineRule="auto"/>
        <w:ind w:firstLine="482" w:firstLineChars="201"/>
        <w:rPr>
          <w:rFonts w:hint="eastAsia" w:ascii="宋体" w:hAnsi="宋体"/>
          <w:sz w:val="24"/>
          <w:szCs w:val="28"/>
        </w:rPr>
      </w:pPr>
      <w:r>
        <w:rPr>
          <w:rFonts w:hint="eastAsia" w:ascii="宋体" w:hAnsi="宋体"/>
          <w:sz w:val="24"/>
          <w:szCs w:val="28"/>
        </w:rPr>
        <w:t>四、为进一步提高我司服务质量，确保投资者及时获得各项业务办理提示，如果您的联系地址、电话、邮箱等联系方式发生变更，请及时通过我公司客户服务中心或开户营业部进行更改。</w:t>
      </w:r>
    </w:p>
    <w:p>
      <w:pPr>
        <w:adjustRightInd w:val="0"/>
        <w:snapToGrid w:val="0"/>
        <w:spacing w:line="360" w:lineRule="auto"/>
        <w:ind w:firstLine="482" w:firstLineChars="201"/>
        <w:rPr>
          <w:rFonts w:hint="eastAsia" w:ascii="宋体" w:hAnsi="宋体"/>
          <w:sz w:val="24"/>
          <w:szCs w:val="28"/>
        </w:rPr>
      </w:pPr>
      <w:r>
        <w:rPr>
          <w:rFonts w:hint="eastAsia" w:ascii="宋体" w:hAnsi="宋体"/>
          <w:sz w:val="24"/>
          <w:szCs w:val="28"/>
        </w:rPr>
        <w:t>及时更新已过期的身份证明文件是国家法律法规的明确要求，感谢您对我公司工作的大力支持和积极配合。对于因此给您造成的不便，敬请谅解。如有疑问，请咨询我司客户服务中心或开户营业部。</w:t>
      </w:r>
    </w:p>
    <w:p>
      <w:pPr>
        <w:adjustRightInd w:val="0"/>
        <w:snapToGrid w:val="0"/>
        <w:spacing w:line="360" w:lineRule="auto"/>
        <w:ind w:firstLine="482" w:firstLineChars="201"/>
        <w:rPr>
          <w:rFonts w:hint="eastAsia" w:ascii="宋体" w:hAnsi="宋体"/>
          <w:sz w:val="24"/>
          <w:szCs w:val="28"/>
        </w:rPr>
      </w:pPr>
      <w:r>
        <w:rPr>
          <w:rFonts w:hint="eastAsia" w:ascii="宋体" w:hAnsi="宋体"/>
          <w:sz w:val="24"/>
          <w:szCs w:val="28"/>
        </w:rPr>
        <w:t>特此公告。 我公司客服电话：95553</w:t>
      </w:r>
    </w:p>
    <w:p>
      <w:pPr>
        <w:adjustRightInd w:val="0"/>
        <w:snapToGrid w:val="0"/>
        <w:spacing w:line="360" w:lineRule="auto"/>
        <w:ind w:firstLine="482" w:firstLineChars="201"/>
        <w:rPr>
          <w:rFonts w:hint="eastAsia" w:ascii="宋体" w:hAnsi="宋体"/>
          <w:sz w:val="24"/>
          <w:szCs w:val="28"/>
        </w:rPr>
      </w:pPr>
      <w:r>
        <w:rPr>
          <w:rFonts w:hint="eastAsia" w:ascii="宋体" w:hAnsi="宋体"/>
          <w:sz w:val="24"/>
          <w:szCs w:val="28"/>
        </w:rPr>
        <w:t xml:space="preserve">我公司网站：http://www.htsec.com </w:t>
      </w:r>
    </w:p>
    <w:p>
      <w:pPr>
        <w:adjustRightInd w:val="0"/>
        <w:snapToGrid w:val="0"/>
        <w:spacing w:line="360" w:lineRule="auto"/>
        <w:ind w:firstLine="5042" w:firstLineChars="2101"/>
        <w:rPr>
          <w:rFonts w:hint="eastAsia" w:ascii="宋体" w:hAnsi="宋体"/>
          <w:sz w:val="24"/>
          <w:szCs w:val="28"/>
        </w:rPr>
      </w:pPr>
      <w:r>
        <w:rPr>
          <w:rFonts w:hint="eastAsia" w:ascii="宋体" w:hAnsi="宋体"/>
          <w:sz w:val="24"/>
          <w:szCs w:val="28"/>
        </w:rPr>
        <w:t xml:space="preserve">海通证券股份有限公司 </w:t>
      </w:r>
    </w:p>
    <w:p>
      <w:pPr>
        <w:adjustRightInd w:val="0"/>
        <w:snapToGrid w:val="0"/>
        <w:spacing w:line="360" w:lineRule="auto"/>
        <w:ind w:firstLine="5282" w:firstLineChars="2201"/>
        <w:rPr>
          <w:rFonts w:hint="eastAsia" w:ascii="宋体" w:hAnsi="宋体"/>
          <w:sz w:val="24"/>
          <w:szCs w:val="28"/>
        </w:rPr>
      </w:pPr>
      <w:r>
        <w:rPr>
          <w:rFonts w:hint="eastAsia" w:ascii="宋体" w:hAnsi="宋体"/>
          <w:sz w:val="24"/>
          <w:szCs w:val="28"/>
        </w:rPr>
        <w:t>2018年</w:t>
      </w:r>
      <w:r>
        <w:rPr>
          <w:rFonts w:hint="eastAsia" w:ascii="宋体" w:hAnsi="宋体"/>
          <w:sz w:val="24"/>
          <w:szCs w:val="28"/>
          <w:lang w:val="en-US" w:eastAsia="zh-CN"/>
        </w:rPr>
        <w:t>8</w:t>
      </w:r>
      <w:r>
        <w:rPr>
          <w:rFonts w:hint="eastAsia" w:ascii="宋体" w:hAnsi="宋体"/>
          <w:sz w:val="24"/>
          <w:szCs w:val="28"/>
        </w:rPr>
        <w:t>月</w:t>
      </w:r>
      <w:r>
        <w:rPr>
          <w:rFonts w:hint="eastAsia" w:ascii="宋体" w:hAnsi="宋体"/>
          <w:sz w:val="24"/>
          <w:szCs w:val="28"/>
          <w:lang w:val="en-US" w:eastAsia="zh-CN"/>
        </w:rPr>
        <w:t>16</w:t>
      </w:r>
      <w:r>
        <w:rPr>
          <w:rFonts w:hint="eastAsia" w:ascii="宋体" w:hAnsi="宋体"/>
          <w:sz w:val="24"/>
          <w:szCs w:val="28"/>
        </w:rPr>
        <w:t>日</w:t>
      </w:r>
    </w:p>
    <w:p/>
    <w:sectPr>
      <w:pgSz w:w="11906" w:h="16838"/>
      <w:pgMar w:top="1440"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FB4D63"/>
    <w:rsid w:val="77F618EE"/>
    <w:rsid w:val="7ECB3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2018-08-15T01:44:18Z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