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2926" w:val="left" w:leader="none"/>
          <w:tab w:pos="5890" w:val="left" w:leader="none"/>
        </w:tabs>
        <w:spacing w:before="61"/>
        <w:ind w:right="14"/>
        <w:jc w:val="center"/>
        <w:rPr>
          <w:rFonts w:ascii="Arial" w:eastAsia="Arial"/>
        </w:rPr>
      </w:pPr>
      <w:r>
        <w:rPr>
          <w:rFonts w:ascii="黑体" w:eastAsia="黑体" w:hint="eastAsia"/>
        </w:rPr>
        <w:t>证券代码</w:t>
      </w:r>
      <w:r>
        <w:rPr>
          <w:rFonts w:ascii="黑体" w:eastAsia="黑体" w:hint="eastAsia"/>
          <w:spacing w:val="-6"/>
        </w:rPr>
        <w:t>：</w:t>
      </w:r>
      <w:r>
        <w:rPr>
          <w:rFonts w:ascii="Arial" w:eastAsia="Arial"/>
          <w:spacing w:val="-6"/>
        </w:rPr>
        <w:t>600401</w:t>
        <w:tab/>
      </w:r>
      <w:r>
        <w:rPr>
          <w:rFonts w:ascii="黑体" w:eastAsia="黑体" w:hint="eastAsia"/>
        </w:rPr>
        <w:t>证券简称</w:t>
      </w:r>
      <w:r>
        <w:rPr>
          <w:rFonts w:ascii="黑体" w:eastAsia="黑体" w:hint="eastAsia"/>
          <w:spacing w:val="-36"/>
        </w:rPr>
        <w:t>：</w:t>
      </w:r>
      <w:r>
        <w:rPr>
          <w:rFonts w:ascii="黑体" w:eastAsia="黑体" w:hint="eastAsia"/>
        </w:rPr>
        <w:t>退市海润</w:t>
        <w:tab/>
        <w:t>公告编号</w:t>
      </w:r>
      <w:r>
        <w:rPr>
          <w:rFonts w:ascii="黑体" w:eastAsia="黑体" w:hint="eastAsia"/>
          <w:spacing w:val="-36"/>
        </w:rPr>
        <w:t>：</w:t>
      </w:r>
      <w:r>
        <w:rPr>
          <w:rFonts w:ascii="黑体" w:eastAsia="黑体" w:hint="eastAsia"/>
        </w:rPr>
        <w:t>临</w:t>
      </w:r>
      <w:r>
        <w:rPr>
          <w:rFonts w:ascii="Arial" w:eastAsia="Arial"/>
        </w:rPr>
        <w:t>2019-029</w:t>
      </w:r>
    </w:p>
    <w:p>
      <w:pPr>
        <w:pStyle w:val="Heading1"/>
      </w:pPr>
      <w:r>
        <w:rPr>
          <w:color w:val="FF0000"/>
        </w:rPr>
        <w:t>海润光伏科技股份有限公司</w:t>
      </w:r>
    </w:p>
    <w:p>
      <w:pPr>
        <w:spacing w:line="324" w:lineRule="auto" w:before="163"/>
        <w:ind w:left="1480" w:right="1499" w:firstLine="0"/>
        <w:jc w:val="center"/>
        <w:rPr>
          <w:rFonts w:ascii="黑体" w:eastAsia="黑体" w:hint="eastAsia"/>
          <w:b/>
          <w:sz w:val="36"/>
        </w:rPr>
      </w:pPr>
      <w:r>
        <w:rPr/>
        <w:pict>
          <v:shape style="position:absolute;margin-left:84.384003pt;margin-top:66.709969pt;width:426.7pt;height:49.2pt;mso-position-horizontal-relative:page;mso-position-vertical-relative:paragraph;z-index:-251738112" type="#_x0000_t202" filled="false" stroked="true" strokeweight=".47998pt" strokecolor="#000000">
            <v:textbox inset="0,0,0,0">
              <w:txbxContent>
                <w:p>
                  <w:pPr>
                    <w:pStyle w:val="BodyText"/>
                    <w:spacing w:line="364" w:lineRule="auto" w:before="21"/>
                    <w:ind w:left="108" w:right="107" w:firstLine="479"/>
                  </w:pPr>
                  <w:r>
                    <w:rPr>
                      <w:spacing w:val="-5"/>
                    </w:rPr>
                    <w:t>本公司及董事会全体成员保证公告内容不存在虚假记载、误导性陈述或者重</w:t>
                  </w:r>
                  <w:r>
                    <w:rPr/>
                    <w:t>大遗漏，并对其内容的真实、准确和完整承担个别及连带责任。</w:t>
                  </w:r>
                </w:p>
              </w:txbxContent>
            </v:textbox>
            <v:stroke dashstyle="solid"/>
            <w10:wrap type="none"/>
          </v:shape>
        </w:pict>
      </w:r>
      <w:r>
        <w:rPr>
          <w:rFonts w:ascii="黑体" w:eastAsia="黑体" w:hint="eastAsia"/>
          <w:b/>
          <w:color w:val="FF0000"/>
          <w:sz w:val="36"/>
        </w:rPr>
        <w:t>关于公司股票进入退市整理期交易的第三次风险提示公告</w:t>
      </w:r>
    </w:p>
    <w:p>
      <w:pPr>
        <w:pStyle w:val="BodyText"/>
        <w:rPr>
          <w:rFonts w:ascii="黑体"/>
          <w:b/>
          <w:sz w:val="20"/>
        </w:rPr>
      </w:pPr>
    </w:p>
    <w:p>
      <w:pPr>
        <w:pStyle w:val="BodyText"/>
        <w:rPr>
          <w:rFonts w:ascii="黑体"/>
          <w:b/>
          <w:sz w:val="20"/>
        </w:rPr>
      </w:pPr>
    </w:p>
    <w:p>
      <w:pPr>
        <w:pStyle w:val="BodyText"/>
        <w:rPr>
          <w:rFonts w:ascii="黑体"/>
          <w:b/>
          <w:sz w:val="20"/>
        </w:rPr>
      </w:pPr>
    </w:p>
    <w:p>
      <w:pPr>
        <w:pStyle w:val="BodyText"/>
        <w:spacing w:before="7"/>
        <w:rPr>
          <w:rFonts w:ascii="黑体"/>
          <w:b/>
          <w:sz w:val="17"/>
        </w:rPr>
      </w:pPr>
    </w:p>
    <w:p>
      <w:pPr>
        <w:pStyle w:val="Heading2"/>
      </w:pPr>
      <w:r>
        <w:rPr/>
        <w:t>重要内容提示：</w:t>
      </w:r>
    </w:p>
    <w:p>
      <w:pPr>
        <w:pStyle w:val="ListParagraph"/>
        <w:numPr>
          <w:ilvl w:val="0"/>
          <w:numId w:val="1"/>
        </w:numPr>
        <w:tabs>
          <w:tab w:pos="942" w:val="left" w:leader="none"/>
        </w:tabs>
        <w:spacing w:line="364" w:lineRule="auto" w:before="161" w:after="0"/>
        <w:ind w:left="220" w:right="237" w:firstLine="479"/>
        <w:jc w:val="left"/>
        <w:rPr>
          <w:sz w:val="24"/>
        </w:rPr>
      </w:pPr>
      <w:r>
        <w:rPr>
          <w:spacing w:val="-6"/>
          <w:sz w:val="24"/>
        </w:rPr>
        <w:t>本公司股票已被上海证券交易所决定终止上市，在退市整理期届满后五个</w:t>
      </w:r>
      <w:r>
        <w:rPr>
          <w:sz w:val="24"/>
        </w:rPr>
        <w:t>交易日内，上海证券交易所将对公司股票予以摘牌，公司股票终止上市。</w:t>
      </w:r>
    </w:p>
    <w:p>
      <w:pPr>
        <w:pStyle w:val="ListParagraph"/>
        <w:numPr>
          <w:ilvl w:val="0"/>
          <w:numId w:val="1"/>
        </w:numPr>
        <w:tabs>
          <w:tab w:pos="942" w:val="left" w:leader="none"/>
        </w:tabs>
        <w:spacing w:line="364" w:lineRule="auto" w:before="157" w:after="0"/>
        <w:ind w:left="220" w:right="236" w:firstLine="479"/>
        <w:jc w:val="both"/>
        <w:rPr>
          <w:sz w:val="24"/>
        </w:rPr>
      </w:pPr>
      <w:r>
        <w:rPr>
          <w:spacing w:val="-4"/>
          <w:sz w:val="24"/>
        </w:rPr>
        <w:t>本公司股票将在退市整理期交易 </w:t>
      </w:r>
      <w:r>
        <w:rPr>
          <w:rFonts w:ascii="Arial" w:hAnsi="Arial" w:eastAsia="Arial"/>
          <w:sz w:val="24"/>
        </w:rPr>
        <w:t>30</w:t>
      </w:r>
      <w:r>
        <w:rPr>
          <w:rFonts w:ascii="Arial" w:hAnsi="Arial" w:eastAsia="Arial"/>
          <w:spacing w:val="-6"/>
          <w:sz w:val="24"/>
        </w:rPr>
        <w:t> </w:t>
      </w:r>
      <w:r>
        <w:rPr>
          <w:spacing w:val="-1"/>
          <w:sz w:val="24"/>
        </w:rPr>
        <w:t>个交易日，截至本公告日</w:t>
      </w:r>
      <w:r>
        <w:rPr>
          <w:sz w:val="24"/>
        </w:rPr>
        <w:t>（</w:t>
      </w:r>
      <w:r>
        <w:rPr>
          <w:spacing w:val="-4"/>
          <w:sz w:val="24"/>
        </w:rPr>
        <w:t>含本公告</w:t>
      </w:r>
      <w:r>
        <w:rPr>
          <w:sz w:val="24"/>
        </w:rPr>
        <w:t>日）</w:t>
      </w:r>
      <w:r>
        <w:rPr>
          <w:spacing w:val="-12"/>
          <w:sz w:val="24"/>
        </w:rPr>
        <w:t>交易 </w:t>
      </w:r>
      <w:r>
        <w:rPr>
          <w:rFonts w:ascii="Arial" w:hAnsi="Arial" w:eastAsia="Arial"/>
          <w:spacing w:val="-8"/>
          <w:sz w:val="24"/>
        </w:rPr>
        <w:t>11</w:t>
      </w:r>
      <w:r>
        <w:rPr>
          <w:rFonts w:ascii="Arial" w:hAnsi="Arial" w:eastAsia="Arial"/>
          <w:spacing w:val="20"/>
          <w:sz w:val="24"/>
        </w:rPr>
        <w:t> </w:t>
      </w:r>
      <w:r>
        <w:rPr>
          <w:spacing w:val="-5"/>
          <w:sz w:val="24"/>
        </w:rPr>
        <w:t>个交易日，剩余 </w:t>
      </w:r>
      <w:r>
        <w:rPr>
          <w:rFonts w:ascii="Arial" w:hAnsi="Arial" w:eastAsia="Arial"/>
          <w:sz w:val="24"/>
        </w:rPr>
        <w:t>19</w:t>
      </w:r>
      <w:r>
        <w:rPr>
          <w:rFonts w:ascii="Arial" w:hAnsi="Arial" w:eastAsia="Arial"/>
          <w:spacing w:val="20"/>
          <w:sz w:val="24"/>
        </w:rPr>
        <w:t> </w:t>
      </w:r>
      <w:r>
        <w:rPr>
          <w:spacing w:val="-1"/>
          <w:sz w:val="24"/>
        </w:rPr>
        <w:t>个交易日，交易期满将被终止上市，敬请投资</w:t>
      </w:r>
      <w:r>
        <w:rPr>
          <w:sz w:val="24"/>
        </w:rPr>
        <w:t>者审慎投资、注意风险。</w:t>
      </w:r>
    </w:p>
    <w:p>
      <w:pPr>
        <w:pStyle w:val="ListParagraph"/>
        <w:numPr>
          <w:ilvl w:val="0"/>
          <w:numId w:val="1"/>
        </w:numPr>
        <w:tabs>
          <w:tab w:pos="946" w:val="left" w:leader="none"/>
        </w:tabs>
        <w:spacing w:line="364" w:lineRule="auto" w:before="158" w:after="0"/>
        <w:ind w:left="220" w:right="230" w:firstLine="479"/>
        <w:jc w:val="left"/>
        <w:rPr>
          <w:sz w:val="24"/>
        </w:rPr>
      </w:pPr>
      <w:r>
        <w:rPr>
          <w:spacing w:val="4"/>
          <w:sz w:val="24"/>
        </w:rPr>
        <w:t>公司股票在退市整理期交易期间，公司将不筹划或实施重大资产重组事</w:t>
      </w:r>
      <w:r>
        <w:rPr>
          <w:sz w:val="24"/>
        </w:rPr>
        <w:t>项。</w:t>
      </w:r>
    </w:p>
    <w:p>
      <w:pPr>
        <w:pStyle w:val="BodyText"/>
        <w:spacing w:line="364" w:lineRule="auto" w:before="158"/>
        <w:ind w:left="220" w:right="232" w:firstLine="479"/>
        <w:jc w:val="both"/>
        <w:rPr>
          <w:rFonts w:ascii="Arial" w:eastAsia="Arial"/>
        </w:rPr>
      </w:pPr>
      <w:r>
        <w:rPr>
          <w:rFonts w:ascii="Arial" w:eastAsia="Arial"/>
        </w:rPr>
        <w:t>2019 </w:t>
      </w:r>
      <w:r>
        <w:rPr>
          <w:spacing w:val="-20"/>
        </w:rPr>
        <w:t>年 </w:t>
      </w:r>
      <w:r>
        <w:rPr>
          <w:rFonts w:ascii="Arial" w:eastAsia="Arial"/>
        </w:rPr>
        <w:t>5 </w:t>
      </w:r>
      <w:r>
        <w:rPr>
          <w:spacing w:val="-20"/>
        </w:rPr>
        <w:t>月 </w:t>
      </w:r>
      <w:r>
        <w:rPr>
          <w:rFonts w:ascii="Arial" w:eastAsia="Arial"/>
        </w:rPr>
        <w:t>17 </w:t>
      </w:r>
      <w:r>
        <w:rPr>
          <w:spacing w:val="-2"/>
        </w:rPr>
        <w:t>日，公司收到上海证券交易所《关于海润光伏科技股份有限公司股票终止上市的决定</w:t>
      </w:r>
      <w:r>
        <w:rPr>
          <w:spacing w:val="-159"/>
        </w:rPr>
        <w:t>》</w:t>
      </w:r>
      <w:r>
        <w:rPr>
          <w:spacing w:val="-120"/>
        </w:rPr>
        <w:t>（</w:t>
      </w:r>
      <w:r>
        <w:rPr/>
        <w:t>【</w:t>
      </w:r>
      <w:r>
        <w:rPr>
          <w:rFonts w:ascii="Arial" w:eastAsia="Arial"/>
        </w:rPr>
        <w:t>2019</w:t>
      </w:r>
      <w:r>
        <w:rPr>
          <w:spacing w:val="-41"/>
        </w:rPr>
        <w:t>】</w:t>
      </w:r>
      <w:r>
        <w:rPr>
          <w:rFonts w:ascii="Arial" w:eastAsia="Arial"/>
        </w:rPr>
        <w:t>94 </w:t>
      </w:r>
      <w:r>
        <w:rPr/>
        <w:t>号</w:t>
      </w:r>
      <w:r>
        <w:rPr>
          <w:spacing w:val="-81"/>
        </w:rPr>
        <w:t>）</w:t>
      </w:r>
      <w:r>
        <w:rPr>
          <w:spacing w:val="-10"/>
        </w:rPr>
        <w:t>，上海证券交易所决定终止公司股</w:t>
      </w:r>
      <w:r>
        <w:rPr>
          <w:spacing w:val="-18"/>
        </w:rPr>
        <w:t>票上市。根据《上海证券交易所股票上市规则》的相关规定，本公司股票于 </w:t>
      </w:r>
      <w:r>
        <w:rPr>
          <w:rFonts w:ascii="Arial" w:eastAsia="Arial"/>
          <w:spacing w:val="-4"/>
        </w:rPr>
        <w:t>2019</w:t>
      </w:r>
    </w:p>
    <w:p>
      <w:pPr>
        <w:pStyle w:val="BodyText"/>
        <w:spacing w:before="1"/>
        <w:ind w:left="220"/>
        <w:jc w:val="both"/>
      </w:pPr>
      <w:r>
        <w:rPr/>
        <w:t>年 </w:t>
      </w:r>
      <w:r>
        <w:rPr>
          <w:rFonts w:ascii="Arial" w:eastAsia="Arial"/>
        </w:rPr>
        <w:t>5 </w:t>
      </w:r>
      <w:r>
        <w:rPr/>
        <w:t>月 </w:t>
      </w:r>
      <w:r>
        <w:rPr>
          <w:rFonts w:ascii="Arial" w:eastAsia="Arial"/>
        </w:rPr>
        <w:t>27 </w:t>
      </w:r>
      <w:r>
        <w:rPr/>
        <w:t>日进入退市整理期交易。</w:t>
      </w:r>
    </w:p>
    <w:p>
      <w:pPr>
        <w:pStyle w:val="BodyText"/>
        <w:spacing w:before="9"/>
      </w:pPr>
    </w:p>
    <w:p>
      <w:pPr>
        <w:pStyle w:val="Heading2"/>
      </w:pPr>
      <w:r>
        <w:rPr/>
        <w:t>一、公司股票在退市整理期间的证券代码、证券简称及涨跌幅限制</w:t>
      </w:r>
    </w:p>
    <w:p>
      <w:pPr>
        <w:pStyle w:val="BodyText"/>
        <w:spacing w:before="10"/>
        <w:rPr>
          <w:b/>
        </w:rPr>
      </w:pPr>
    </w:p>
    <w:p>
      <w:pPr>
        <w:pStyle w:val="BodyText"/>
        <w:ind w:left="700"/>
        <w:rPr>
          <w:rFonts w:ascii="Arial" w:eastAsia="Arial"/>
        </w:rPr>
      </w:pPr>
      <w:r>
        <w:rPr/>
        <w:t>（</w:t>
      </w:r>
      <w:r>
        <w:rPr>
          <w:rFonts w:ascii="Arial" w:eastAsia="Arial"/>
        </w:rPr>
        <w:t>1</w:t>
      </w:r>
      <w:r>
        <w:rPr/>
        <w:t>）证券代码：</w:t>
      </w:r>
      <w:r>
        <w:rPr>
          <w:rFonts w:ascii="Arial" w:eastAsia="Arial"/>
        </w:rPr>
        <w:t>600401</w:t>
      </w:r>
    </w:p>
    <w:p>
      <w:pPr>
        <w:pStyle w:val="ListParagraph"/>
        <w:numPr>
          <w:ilvl w:val="0"/>
          <w:numId w:val="2"/>
        </w:numPr>
        <w:tabs>
          <w:tab w:pos="1316" w:val="left" w:leader="none"/>
        </w:tabs>
        <w:spacing w:line="240" w:lineRule="auto" w:before="160" w:after="0"/>
        <w:ind w:left="1315" w:right="0" w:hanging="616"/>
        <w:jc w:val="left"/>
        <w:rPr>
          <w:sz w:val="24"/>
        </w:rPr>
      </w:pPr>
      <w:r>
        <w:rPr>
          <w:sz w:val="24"/>
        </w:rPr>
        <w:t>证券简称：退市海润</w:t>
      </w:r>
    </w:p>
    <w:p>
      <w:pPr>
        <w:pStyle w:val="ListParagraph"/>
        <w:numPr>
          <w:ilvl w:val="0"/>
          <w:numId w:val="2"/>
        </w:numPr>
        <w:tabs>
          <w:tab w:pos="1316" w:val="left" w:leader="none"/>
        </w:tabs>
        <w:spacing w:line="240" w:lineRule="auto" w:before="161" w:after="0"/>
        <w:ind w:left="1315" w:right="0" w:hanging="616"/>
        <w:jc w:val="left"/>
        <w:rPr>
          <w:rFonts w:ascii="Arial" w:eastAsia="Arial"/>
          <w:sz w:val="24"/>
        </w:rPr>
      </w:pPr>
      <w:r>
        <w:rPr>
          <w:sz w:val="24"/>
        </w:rPr>
        <w:t>涨跌幅限制：</w:t>
      </w:r>
      <w:r>
        <w:rPr>
          <w:rFonts w:ascii="Arial" w:eastAsia="Arial"/>
          <w:sz w:val="24"/>
        </w:rPr>
        <w:t>10%</w:t>
      </w:r>
    </w:p>
    <w:p>
      <w:pPr>
        <w:pStyle w:val="BodyText"/>
        <w:spacing w:before="6"/>
        <w:rPr>
          <w:rFonts w:ascii="Arial"/>
          <w:sz w:val="27"/>
        </w:rPr>
      </w:pPr>
    </w:p>
    <w:p>
      <w:pPr>
        <w:pStyle w:val="Heading2"/>
      </w:pPr>
      <w:r>
        <w:rPr/>
        <w:t>二、公司股票退市整理期交易起始日及交易期限</w:t>
      </w:r>
    </w:p>
    <w:p>
      <w:pPr>
        <w:pStyle w:val="BodyText"/>
        <w:spacing w:before="9"/>
        <w:rPr>
          <w:b/>
        </w:rPr>
      </w:pPr>
    </w:p>
    <w:p>
      <w:pPr>
        <w:pStyle w:val="BodyText"/>
        <w:spacing w:line="364" w:lineRule="auto"/>
        <w:ind w:left="220" w:right="111" w:firstLine="479"/>
      </w:pPr>
      <w:r>
        <w:rPr/>
        <w:t>本公司股票进入退市整理期交易的起始日为 </w:t>
      </w:r>
      <w:r>
        <w:rPr>
          <w:rFonts w:ascii="Arial" w:eastAsia="Arial"/>
        </w:rPr>
        <w:t>2019</w:t>
      </w:r>
      <w:r>
        <w:rPr>
          <w:spacing w:val="-3"/>
        </w:rPr>
        <w:t>年</w:t>
      </w:r>
      <w:r>
        <w:rPr>
          <w:rFonts w:ascii="Arial" w:eastAsia="Arial"/>
        </w:rPr>
        <w:t>5</w:t>
      </w:r>
      <w:r>
        <w:rPr/>
        <w:t>月</w:t>
      </w:r>
      <w:r>
        <w:rPr>
          <w:rFonts w:ascii="Arial" w:eastAsia="Arial"/>
        </w:rPr>
        <w:t>27</w:t>
      </w:r>
      <w:r>
        <w:rPr>
          <w:spacing w:val="-1"/>
        </w:rPr>
        <w:t>日，退市整理期</w:t>
      </w:r>
      <w:r>
        <w:rPr>
          <w:spacing w:val="-15"/>
        </w:rPr>
        <w:t>为三十个交易日。如不考虑全天停牌因素，预计最后交易日期为 </w:t>
      </w:r>
      <w:r>
        <w:rPr>
          <w:rFonts w:ascii="Arial" w:eastAsia="Arial"/>
        </w:rPr>
        <w:t>2019</w:t>
      </w:r>
      <w:r>
        <w:rPr/>
        <w:t>年</w:t>
      </w:r>
      <w:r>
        <w:rPr>
          <w:rFonts w:ascii="Arial" w:eastAsia="Arial"/>
        </w:rPr>
        <w:t>7</w:t>
      </w:r>
      <w:r>
        <w:rPr/>
        <w:t>月</w:t>
      </w:r>
      <w:r>
        <w:rPr>
          <w:rFonts w:ascii="Arial" w:eastAsia="Arial"/>
        </w:rPr>
        <w:t>8</w:t>
      </w:r>
      <w:r>
        <w:rPr>
          <w:spacing w:val="-6"/>
        </w:rPr>
        <w:t>日。</w:t>
      </w:r>
      <w:r>
        <w:rPr>
          <w:spacing w:val="-5"/>
        </w:rPr>
        <w:t>本公司股票在退市整理期内全天停牌的，停牌期间不计入退市整理期，预计的最</w:t>
      </w:r>
    </w:p>
    <w:p>
      <w:pPr>
        <w:spacing w:after="0" w:line="364" w:lineRule="auto"/>
        <w:sectPr>
          <w:footerReference w:type="default" r:id="rId5"/>
          <w:type w:val="continuous"/>
          <w:pgSz w:w="11910" w:h="16840"/>
          <w:pgMar w:footer="1195" w:top="1440" w:bottom="1380" w:left="1580" w:right="1560"/>
          <w:pgNumType w:start="1"/>
        </w:sectPr>
      </w:pPr>
    </w:p>
    <w:p>
      <w:pPr>
        <w:pStyle w:val="BodyText"/>
        <w:spacing w:before="41"/>
        <w:ind w:left="220"/>
      </w:pPr>
      <w:r>
        <w:rPr/>
        <w:t>后交易日期将顺延。全天停牌天数累计不超过五个交易日。</w:t>
      </w:r>
    </w:p>
    <w:p>
      <w:pPr>
        <w:pStyle w:val="BodyText"/>
        <w:spacing w:line="364" w:lineRule="auto" w:before="160"/>
        <w:ind w:left="220" w:right="237" w:firstLine="479"/>
        <w:jc w:val="both"/>
      </w:pPr>
      <w:r>
        <w:rPr>
          <w:spacing w:val="-10"/>
        </w:rPr>
        <w:t>退市整理期间，公司股票将在上海证券交易所风险警示板交易，每日的涨跌</w:t>
      </w:r>
      <w:r>
        <w:rPr/>
        <w:t>幅限制为</w:t>
      </w:r>
      <w:r>
        <w:rPr>
          <w:rFonts w:ascii="Arial" w:eastAsia="Arial"/>
        </w:rPr>
        <w:t>10%</w:t>
      </w:r>
      <w:r>
        <w:rPr>
          <w:spacing w:val="-11"/>
        </w:rPr>
        <w:t>。退市整理期届满后五个交易日内，上海证券交易所将对公司股票</w:t>
      </w:r>
      <w:r>
        <w:rPr/>
        <w:t>予以摘牌，公司股票终止上市。</w:t>
      </w:r>
    </w:p>
    <w:p>
      <w:pPr>
        <w:pStyle w:val="Heading2"/>
        <w:spacing w:line="364" w:lineRule="auto" w:before="158"/>
        <w:ind w:left="220" w:right="245" w:firstLine="482"/>
      </w:pPr>
      <w:r>
        <w:rPr>
          <w:w w:val="95"/>
        </w:rPr>
        <w:t>三、公司股票在退市整理期交易期间公司将不筹划或者实施重大资产重组  </w:t>
      </w:r>
      <w:r>
        <w:rPr/>
        <w:t>事宜的说明</w:t>
      </w:r>
    </w:p>
    <w:p>
      <w:pPr>
        <w:pStyle w:val="BodyText"/>
        <w:spacing w:line="364" w:lineRule="auto" w:before="157"/>
        <w:ind w:left="220" w:right="237" w:firstLine="479"/>
      </w:pPr>
      <w:r>
        <w:rPr>
          <w:spacing w:val="-10"/>
        </w:rPr>
        <w:t>根据《上海证券交易所退市整理期业务实施细则》的相关规定，公司股票在</w:t>
      </w:r>
      <w:r>
        <w:rPr/>
        <w:t>退市整理期交易期间，公司将不筹划或实施重大资产重组事宜。</w:t>
      </w:r>
    </w:p>
    <w:p>
      <w:pPr>
        <w:pStyle w:val="BodyText"/>
        <w:spacing w:line="487" w:lineRule="auto" w:before="2"/>
        <w:ind w:left="700" w:right="4463"/>
      </w:pPr>
      <w:r>
        <w:rPr/>
        <w:t>敬请投资者审慎投资、注意风险。特此公告。</w:t>
      </w:r>
    </w:p>
    <w:p>
      <w:pPr>
        <w:pStyle w:val="BodyText"/>
      </w:pPr>
    </w:p>
    <w:p>
      <w:pPr>
        <w:pStyle w:val="BodyText"/>
        <w:spacing w:before="160"/>
        <w:ind w:left="4927"/>
      </w:pPr>
      <w:r>
        <w:rPr/>
        <w:t>海润光伏科技股份有限公司董事会</w:t>
      </w:r>
    </w:p>
    <w:p>
      <w:pPr>
        <w:pStyle w:val="BodyText"/>
        <w:spacing w:before="161"/>
        <w:ind w:right="953"/>
        <w:jc w:val="right"/>
      </w:pPr>
      <w:r>
        <w:rPr>
          <w:rFonts w:ascii="Arial" w:eastAsia="Arial"/>
        </w:rPr>
        <w:t>2019 </w:t>
      </w:r>
      <w:r>
        <w:rPr/>
        <w:t>年 </w:t>
      </w:r>
      <w:r>
        <w:rPr>
          <w:rFonts w:ascii="Arial" w:eastAsia="Arial"/>
        </w:rPr>
        <w:t>6 </w:t>
      </w:r>
      <w:r>
        <w:rPr/>
        <w:t>月 </w:t>
      </w:r>
      <w:r>
        <w:rPr>
          <w:rFonts w:ascii="Arial" w:eastAsia="Arial"/>
        </w:rPr>
        <w:t>11 </w:t>
      </w:r>
      <w:r>
        <w:rPr/>
        <w:t>日</w:t>
      </w:r>
    </w:p>
    <w:sectPr>
      <w:pgSz w:w="11910" w:h="16840"/>
      <w:pgMar w:header="0" w:footer="1195" w:top="1460" w:bottom="1380" w:left="1580" w:right="1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黑体">
    <w:altName w:val="黑体"/>
    <w:charset w:val="86"/>
    <w:family w:val="modern"/>
    <w:pitch w:val="fixed"/>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2.369995pt;margin-top:771.169983pt;width:8.6pt;height:11pt;mso-position-horizontal-relative:page;mso-position-vertical-relative:page;z-index:-251738112"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2"/>
      <w:numFmt w:val="decimal"/>
      <w:lvlText w:val="（%1）"/>
      <w:lvlJc w:val="left"/>
      <w:pPr>
        <w:ind w:left="1315" w:hanging="616"/>
        <w:jc w:val="left"/>
      </w:pPr>
      <w:rPr>
        <w:rFonts w:hint="default" w:ascii="宋体" w:hAnsi="宋体" w:eastAsia="宋体" w:cs="宋体"/>
        <w:w w:val="99"/>
        <w:sz w:val="22"/>
        <w:szCs w:val="22"/>
        <w:lang w:val="zh-CN" w:eastAsia="zh-CN" w:bidi="zh-CN"/>
      </w:rPr>
    </w:lvl>
    <w:lvl w:ilvl="1">
      <w:start w:val="0"/>
      <w:numFmt w:val="bullet"/>
      <w:lvlText w:val="•"/>
      <w:lvlJc w:val="left"/>
      <w:pPr>
        <w:ind w:left="2064" w:hanging="616"/>
      </w:pPr>
      <w:rPr>
        <w:rFonts w:hint="default"/>
        <w:lang w:val="zh-CN" w:eastAsia="zh-CN" w:bidi="zh-CN"/>
      </w:rPr>
    </w:lvl>
    <w:lvl w:ilvl="2">
      <w:start w:val="0"/>
      <w:numFmt w:val="bullet"/>
      <w:lvlText w:val="•"/>
      <w:lvlJc w:val="left"/>
      <w:pPr>
        <w:ind w:left="2809" w:hanging="616"/>
      </w:pPr>
      <w:rPr>
        <w:rFonts w:hint="default"/>
        <w:lang w:val="zh-CN" w:eastAsia="zh-CN" w:bidi="zh-CN"/>
      </w:rPr>
    </w:lvl>
    <w:lvl w:ilvl="3">
      <w:start w:val="0"/>
      <w:numFmt w:val="bullet"/>
      <w:lvlText w:val="•"/>
      <w:lvlJc w:val="left"/>
      <w:pPr>
        <w:ind w:left="3553" w:hanging="616"/>
      </w:pPr>
      <w:rPr>
        <w:rFonts w:hint="default"/>
        <w:lang w:val="zh-CN" w:eastAsia="zh-CN" w:bidi="zh-CN"/>
      </w:rPr>
    </w:lvl>
    <w:lvl w:ilvl="4">
      <w:start w:val="0"/>
      <w:numFmt w:val="bullet"/>
      <w:lvlText w:val="•"/>
      <w:lvlJc w:val="left"/>
      <w:pPr>
        <w:ind w:left="4298" w:hanging="616"/>
      </w:pPr>
      <w:rPr>
        <w:rFonts w:hint="default"/>
        <w:lang w:val="zh-CN" w:eastAsia="zh-CN" w:bidi="zh-CN"/>
      </w:rPr>
    </w:lvl>
    <w:lvl w:ilvl="5">
      <w:start w:val="0"/>
      <w:numFmt w:val="bullet"/>
      <w:lvlText w:val="•"/>
      <w:lvlJc w:val="left"/>
      <w:pPr>
        <w:ind w:left="5043" w:hanging="616"/>
      </w:pPr>
      <w:rPr>
        <w:rFonts w:hint="default"/>
        <w:lang w:val="zh-CN" w:eastAsia="zh-CN" w:bidi="zh-CN"/>
      </w:rPr>
    </w:lvl>
    <w:lvl w:ilvl="6">
      <w:start w:val="0"/>
      <w:numFmt w:val="bullet"/>
      <w:lvlText w:val="•"/>
      <w:lvlJc w:val="left"/>
      <w:pPr>
        <w:ind w:left="5787" w:hanging="616"/>
      </w:pPr>
      <w:rPr>
        <w:rFonts w:hint="default"/>
        <w:lang w:val="zh-CN" w:eastAsia="zh-CN" w:bidi="zh-CN"/>
      </w:rPr>
    </w:lvl>
    <w:lvl w:ilvl="7">
      <w:start w:val="0"/>
      <w:numFmt w:val="bullet"/>
      <w:lvlText w:val="•"/>
      <w:lvlJc w:val="left"/>
      <w:pPr>
        <w:ind w:left="6532" w:hanging="616"/>
      </w:pPr>
      <w:rPr>
        <w:rFonts w:hint="default"/>
        <w:lang w:val="zh-CN" w:eastAsia="zh-CN" w:bidi="zh-CN"/>
      </w:rPr>
    </w:lvl>
    <w:lvl w:ilvl="8">
      <w:start w:val="0"/>
      <w:numFmt w:val="bullet"/>
      <w:lvlText w:val="•"/>
      <w:lvlJc w:val="left"/>
      <w:pPr>
        <w:ind w:left="7277" w:hanging="616"/>
      </w:pPr>
      <w:rPr>
        <w:rFonts w:hint="default"/>
        <w:lang w:val="zh-CN" w:eastAsia="zh-CN" w:bidi="zh-CN"/>
      </w:rPr>
    </w:lvl>
  </w:abstractNum>
  <w:abstractNum w:abstractNumId="0">
    <w:multiLevelType w:val="hybridMultilevel"/>
    <w:lvl w:ilvl="0">
      <w:start w:val="0"/>
      <w:numFmt w:val="bullet"/>
      <w:lvlText w:val="●"/>
      <w:lvlJc w:val="left"/>
      <w:pPr>
        <w:ind w:left="220" w:hanging="241"/>
      </w:pPr>
      <w:rPr>
        <w:rFonts w:hint="default" w:ascii="宋体" w:hAnsi="宋体" w:eastAsia="宋体" w:cs="宋体"/>
        <w:spacing w:val="-94"/>
        <w:w w:val="100"/>
        <w:sz w:val="22"/>
        <w:szCs w:val="22"/>
        <w:lang w:val="zh-CN" w:eastAsia="zh-CN" w:bidi="zh-CN"/>
      </w:rPr>
    </w:lvl>
    <w:lvl w:ilvl="1">
      <w:start w:val="0"/>
      <w:numFmt w:val="bullet"/>
      <w:lvlText w:val="•"/>
      <w:lvlJc w:val="left"/>
      <w:pPr>
        <w:ind w:left="1074" w:hanging="241"/>
      </w:pPr>
      <w:rPr>
        <w:rFonts w:hint="default"/>
        <w:lang w:val="zh-CN" w:eastAsia="zh-CN" w:bidi="zh-CN"/>
      </w:rPr>
    </w:lvl>
    <w:lvl w:ilvl="2">
      <w:start w:val="0"/>
      <w:numFmt w:val="bullet"/>
      <w:lvlText w:val="•"/>
      <w:lvlJc w:val="left"/>
      <w:pPr>
        <w:ind w:left="1929" w:hanging="241"/>
      </w:pPr>
      <w:rPr>
        <w:rFonts w:hint="default"/>
        <w:lang w:val="zh-CN" w:eastAsia="zh-CN" w:bidi="zh-CN"/>
      </w:rPr>
    </w:lvl>
    <w:lvl w:ilvl="3">
      <w:start w:val="0"/>
      <w:numFmt w:val="bullet"/>
      <w:lvlText w:val="•"/>
      <w:lvlJc w:val="left"/>
      <w:pPr>
        <w:ind w:left="2783" w:hanging="241"/>
      </w:pPr>
      <w:rPr>
        <w:rFonts w:hint="default"/>
        <w:lang w:val="zh-CN" w:eastAsia="zh-CN" w:bidi="zh-CN"/>
      </w:rPr>
    </w:lvl>
    <w:lvl w:ilvl="4">
      <w:start w:val="0"/>
      <w:numFmt w:val="bullet"/>
      <w:lvlText w:val="•"/>
      <w:lvlJc w:val="left"/>
      <w:pPr>
        <w:ind w:left="3638" w:hanging="241"/>
      </w:pPr>
      <w:rPr>
        <w:rFonts w:hint="default"/>
        <w:lang w:val="zh-CN" w:eastAsia="zh-CN" w:bidi="zh-CN"/>
      </w:rPr>
    </w:lvl>
    <w:lvl w:ilvl="5">
      <w:start w:val="0"/>
      <w:numFmt w:val="bullet"/>
      <w:lvlText w:val="•"/>
      <w:lvlJc w:val="left"/>
      <w:pPr>
        <w:ind w:left="4493" w:hanging="241"/>
      </w:pPr>
      <w:rPr>
        <w:rFonts w:hint="default"/>
        <w:lang w:val="zh-CN" w:eastAsia="zh-CN" w:bidi="zh-CN"/>
      </w:rPr>
    </w:lvl>
    <w:lvl w:ilvl="6">
      <w:start w:val="0"/>
      <w:numFmt w:val="bullet"/>
      <w:lvlText w:val="•"/>
      <w:lvlJc w:val="left"/>
      <w:pPr>
        <w:ind w:left="5347" w:hanging="241"/>
      </w:pPr>
      <w:rPr>
        <w:rFonts w:hint="default"/>
        <w:lang w:val="zh-CN" w:eastAsia="zh-CN" w:bidi="zh-CN"/>
      </w:rPr>
    </w:lvl>
    <w:lvl w:ilvl="7">
      <w:start w:val="0"/>
      <w:numFmt w:val="bullet"/>
      <w:lvlText w:val="•"/>
      <w:lvlJc w:val="left"/>
      <w:pPr>
        <w:ind w:left="6202" w:hanging="241"/>
      </w:pPr>
      <w:rPr>
        <w:rFonts w:hint="default"/>
        <w:lang w:val="zh-CN" w:eastAsia="zh-CN" w:bidi="zh-CN"/>
      </w:rPr>
    </w:lvl>
    <w:lvl w:ilvl="8">
      <w:start w:val="0"/>
      <w:numFmt w:val="bullet"/>
      <w:lvlText w:val="•"/>
      <w:lvlJc w:val="left"/>
      <w:pPr>
        <w:ind w:left="7057" w:hanging="241"/>
      </w:pPr>
      <w:rPr>
        <w:rFonts w:hint="default"/>
        <w:lang w:val="zh-CN" w:eastAsia="zh-CN" w:bidi="zh-CN"/>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宋体" w:hAnsi="宋体" w:eastAsia="宋体" w:cs="宋体"/>
      <w:sz w:val="24"/>
      <w:szCs w:val="24"/>
      <w:lang w:val="zh-CN" w:eastAsia="zh-CN" w:bidi="zh-CN"/>
    </w:rPr>
  </w:style>
  <w:style w:styleId="Heading1" w:type="paragraph">
    <w:name w:val="Heading 1"/>
    <w:basedOn w:val="Normal"/>
    <w:uiPriority w:val="1"/>
    <w:qFormat/>
    <w:pPr>
      <w:spacing w:before="163"/>
      <w:ind w:right="21"/>
      <w:jc w:val="center"/>
      <w:outlineLvl w:val="1"/>
    </w:pPr>
    <w:rPr>
      <w:rFonts w:ascii="黑体" w:hAnsi="黑体" w:eastAsia="黑体" w:cs="黑体"/>
      <w:b/>
      <w:bCs/>
      <w:sz w:val="36"/>
      <w:szCs w:val="36"/>
      <w:lang w:val="zh-CN" w:eastAsia="zh-CN" w:bidi="zh-CN"/>
    </w:rPr>
  </w:style>
  <w:style w:styleId="Heading2" w:type="paragraph">
    <w:name w:val="Heading 2"/>
    <w:basedOn w:val="Normal"/>
    <w:uiPriority w:val="1"/>
    <w:qFormat/>
    <w:pPr>
      <w:ind w:left="702"/>
      <w:outlineLvl w:val="2"/>
    </w:pPr>
    <w:rPr>
      <w:rFonts w:ascii="宋体" w:hAnsi="宋体" w:eastAsia="宋体" w:cs="宋体"/>
      <w:b/>
      <w:bCs/>
      <w:sz w:val="24"/>
      <w:szCs w:val="24"/>
      <w:lang w:val="zh-CN" w:eastAsia="zh-CN" w:bidi="zh-CN"/>
    </w:rPr>
  </w:style>
  <w:style w:styleId="ListParagraph" w:type="paragraph">
    <w:name w:val="List Paragraph"/>
    <w:basedOn w:val="Normal"/>
    <w:uiPriority w:val="1"/>
    <w:qFormat/>
    <w:pPr>
      <w:spacing w:before="161"/>
      <w:ind w:left="220" w:firstLine="479"/>
    </w:pPr>
    <w:rPr>
      <w:rFonts w:ascii="宋体" w:hAnsi="宋体" w:eastAsia="宋体" w:cs="宋体"/>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朱铭伟</dc:creator>
  <dcterms:created xsi:type="dcterms:W3CDTF">2019-06-11T01:46:13Z</dcterms:created>
  <dcterms:modified xsi:type="dcterms:W3CDTF">2019-06-11T01:46:13Z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2019-06-10T00:00:00Z</vt:filetime>
  </property>
  <property fmtid="{D5CDD505-2E9C-101B-9397-08002B2CF9AE}" pid="3" name="Creator">
    <vt:lpwstr>Microsoft® Office Word 2007</vt:lpwstr>
  </property>
  <property fmtid="{D5CDD505-2E9C-101B-9397-08002B2CF9AE}" pid="4" name="LastSaved">
    <vt:filetime>2019-06-11T00:00:00Z</vt:filetime>
  </property>
</Properties>
</file>