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DB" w:rsidRDefault="006E188B" w:rsidP="006E188B">
      <w:pPr>
        <w:jc w:val="center"/>
        <w:rPr>
          <w:rFonts w:ascii="黑体" w:eastAsia="黑体" w:hAnsi="黑体" w:hint="eastAsia"/>
          <w:b/>
          <w:sz w:val="36"/>
          <w:szCs w:val="36"/>
        </w:rPr>
      </w:pPr>
      <w:r>
        <w:rPr>
          <w:rFonts w:ascii="黑体" w:eastAsia="黑体" w:hAnsi="黑体" w:hint="eastAsia"/>
          <w:b/>
          <w:sz w:val="36"/>
          <w:szCs w:val="36"/>
        </w:rPr>
        <w:t>ETF投资修炼手册（</w:t>
      </w:r>
      <w:r w:rsidR="00647A34">
        <w:rPr>
          <w:rFonts w:ascii="黑体" w:eastAsia="黑体" w:hAnsi="黑体" w:hint="eastAsia"/>
          <w:b/>
          <w:sz w:val="36"/>
          <w:szCs w:val="36"/>
        </w:rPr>
        <w:t>五</w:t>
      </w:r>
      <w:r>
        <w:rPr>
          <w:rFonts w:ascii="黑体" w:eastAsia="黑体" w:hAnsi="黑体" w:hint="eastAsia"/>
          <w:b/>
          <w:sz w:val="36"/>
          <w:szCs w:val="36"/>
        </w:rPr>
        <w:t>）：</w:t>
      </w:r>
      <w:r w:rsidR="00647A34">
        <w:rPr>
          <w:rFonts w:ascii="黑体" w:eastAsia="黑体" w:hAnsi="黑体" w:hint="eastAsia"/>
          <w:b/>
          <w:sz w:val="36"/>
          <w:szCs w:val="36"/>
        </w:rPr>
        <w:t>跨境ETF篇</w:t>
      </w:r>
    </w:p>
    <w:p w:rsidR="000E77F9" w:rsidRDefault="000E77F9" w:rsidP="000E77F9">
      <w:pPr>
        <w:rPr>
          <w:rFonts w:ascii="仿宋_GB2312" w:eastAsia="仿宋_GB2312" w:hAnsi="仿宋" w:cs="仿宋"/>
          <w:b/>
          <w:bCs/>
          <w:sz w:val="30"/>
          <w:szCs w:val="30"/>
        </w:rPr>
      </w:pPr>
    </w:p>
    <w:p w:rsidR="00647A34" w:rsidRDefault="00647A34" w:rsidP="00647A34">
      <w:pPr>
        <w:rPr>
          <w:rFonts w:ascii="仿宋_GB2312" w:eastAsia="仿宋_GB2312"/>
          <w:b/>
          <w:sz w:val="30"/>
          <w:szCs w:val="30"/>
        </w:rPr>
      </w:pPr>
      <w:r>
        <w:rPr>
          <w:rFonts w:ascii="仿宋_GB2312" w:eastAsia="仿宋_GB2312" w:hint="eastAsia"/>
          <w:b/>
          <w:sz w:val="30"/>
          <w:szCs w:val="30"/>
        </w:rPr>
        <w:t>13-1、跨境 ETF是什么？</w:t>
      </w:r>
    </w:p>
    <w:p w:rsidR="00647A34" w:rsidRDefault="00647A34" w:rsidP="00647A34">
      <w:pPr>
        <w:rPr>
          <w:rFonts w:ascii="仿宋_GB2312" w:eastAsia="仿宋_GB2312"/>
          <w:sz w:val="30"/>
          <w:szCs w:val="30"/>
        </w:rPr>
      </w:pPr>
      <w:r>
        <w:rPr>
          <w:rFonts w:ascii="仿宋_GB2312" w:eastAsia="仿宋_GB2312" w:hint="eastAsia"/>
          <w:sz w:val="30"/>
          <w:szCs w:val="30"/>
        </w:rPr>
        <w:t>答：跨境</w:t>
      </w:r>
      <w:r>
        <w:rPr>
          <w:rFonts w:ascii="仿宋_GB2312" w:eastAsia="仿宋_GB2312"/>
          <w:sz w:val="30"/>
          <w:szCs w:val="30"/>
        </w:rPr>
        <w:t>ETF</w:t>
      </w:r>
      <w:r>
        <w:rPr>
          <w:rFonts w:ascii="仿宋_GB2312" w:eastAsia="仿宋_GB2312" w:hint="eastAsia"/>
          <w:sz w:val="30"/>
          <w:szCs w:val="30"/>
        </w:rPr>
        <w:t>是指全部或者部分资产投资于中国内地以外的证券指数所对应组合证券的开放式基金。简单而言，跨境ETF就是“跟踪境外指数，境内上市交易”的ETF产品。</w:t>
      </w:r>
    </w:p>
    <w:p w:rsidR="00647A34" w:rsidRDefault="00647A34" w:rsidP="00647A34">
      <w:pPr>
        <w:rPr>
          <w:rFonts w:ascii="仿宋_GB2312" w:eastAsia="仿宋_GB2312"/>
          <w:sz w:val="30"/>
          <w:szCs w:val="30"/>
        </w:rPr>
      </w:pPr>
    </w:p>
    <w:p w:rsidR="00647A34" w:rsidRDefault="00647A34" w:rsidP="00647A34">
      <w:pPr>
        <w:rPr>
          <w:rFonts w:ascii="仿宋_GB2312" w:eastAsia="仿宋_GB2312"/>
          <w:b/>
          <w:sz w:val="30"/>
          <w:szCs w:val="30"/>
        </w:rPr>
      </w:pPr>
      <w:r>
        <w:rPr>
          <w:rFonts w:ascii="仿宋_GB2312" w:eastAsia="仿宋_GB2312" w:hint="eastAsia"/>
          <w:b/>
          <w:sz w:val="30"/>
          <w:szCs w:val="30"/>
        </w:rPr>
        <w:t>13-2、跨境 ETF有何特点？</w:t>
      </w:r>
    </w:p>
    <w:p w:rsidR="00647A34" w:rsidRDefault="00647A34" w:rsidP="00647A34">
      <w:pPr>
        <w:rPr>
          <w:rFonts w:ascii="仿宋_GB2312" w:eastAsia="仿宋_GB2312"/>
          <w:sz w:val="30"/>
          <w:szCs w:val="30"/>
        </w:rPr>
      </w:pPr>
      <w:r>
        <w:rPr>
          <w:rFonts w:ascii="仿宋_GB2312" w:eastAsia="仿宋_GB2312" w:hint="eastAsia"/>
          <w:sz w:val="30"/>
          <w:szCs w:val="30"/>
        </w:rPr>
        <w:t>答：跨境ETF的特点包括如下方面：</w:t>
      </w:r>
    </w:p>
    <w:p w:rsidR="00647A34" w:rsidRDefault="00647A34" w:rsidP="00647A34">
      <w:pPr>
        <w:ind w:firstLineChars="200" w:firstLine="600"/>
        <w:rPr>
          <w:rFonts w:ascii="仿宋_GB2312" w:eastAsia="仿宋_GB2312"/>
          <w:sz w:val="30"/>
          <w:szCs w:val="30"/>
        </w:rPr>
      </w:pPr>
      <w:r>
        <w:rPr>
          <w:rFonts w:ascii="仿宋_GB2312" w:eastAsia="仿宋_GB2312" w:hint="eastAsia"/>
          <w:sz w:val="30"/>
          <w:szCs w:val="30"/>
        </w:rPr>
        <w:t>1、全球资产配置利器、直通境外，跟踪权威指数，开展被动投资；</w:t>
      </w:r>
    </w:p>
    <w:p w:rsidR="00647A34" w:rsidRDefault="00647A34" w:rsidP="00647A34">
      <w:pPr>
        <w:ind w:firstLineChars="200" w:firstLine="600"/>
        <w:rPr>
          <w:rFonts w:ascii="仿宋_GB2312" w:eastAsia="仿宋_GB2312"/>
          <w:sz w:val="30"/>
          <w:szCs w:val="30"/>
        </w:rPr>
      </w:pPr>
      <w:r>
        <w:rPr>
          <w:rFonts w:ascii="仿宋_GB2312" w:eastAsia="仿宋_GB2312" w:hint="eastAsia"/>
          <w:sz w:val="30"/>
          <w:szCs w:val="30"/>
        </w:rPr>
        <w:t>2、T+0交易；</w:t>
      </w:r>
    </w:p>
    <w:p w:rsidR="00647A34" w:rsidRDefault="00647A34" w:rsidP="00647A34">
      <w:pPr>
        <w:ind w:firstLineChars="200" w:firstLine="600"/>
        <w:rPr>
          <w:rFonts w:ascii="仿宋_GB2312" w:eastAsia="仿宋_GB2312"/>
          <w:sz w:val="30"/>
          <w:szCs w:val="30"/>
        </w:rPr>
      </w:pPr>
      <w:r>
        <w:rPr>
          <w:rFonts w:ascii="仿宋_GB2312" w:eastAsia="仿宋_GB2312" w:hint="eastAsia"/>
          <w:sz w:val="30"/>
          <w:szCs w:val="30"/>
        </w:rPr>
        <w:t>3、费用较为低廉等。</w:t>
      </w:r>
    </w:p>
    <w:p w:rsidR="00647A34" w:rsidRDefault="00647A34" w:rsidP="00647A34">
      <w:pPr>
        <w:ind w:firstLineChars="200" w:firstLine="600"/>
        <w:rPr>
          <w:rFonts w:ascii="仿宋_GB2312" w:eastAsia="仿宋_GB2312"/>
          <w:sz w:val="30"/>
          <w:szCs w:val="30"/>
        </w:rPr>
      </w:pPr>
    </w:p>
    <w:p w:rsidR="00647A34" w:rsidRDefault="00647A34" w:rsidP="00647A34">
      <w:pPr>
        <w:rPr>
          <w:rFonts w:ascii="仿宋_GB2312" w:eastAsia="仿宋_GB2312"/>
          <w:b/>
          <w:sz w:val="30"/>
          <w:szCs w:val="30"/>
        </w:rPr>
      </w:pPr>
      <w:r>
        <w:rPr>
          <w:rFonts w:ascii="仿宋_GB2312" w:eastAsia="仿宋_GB2312" w:hint="eastAsia"/>
          <w:b/>
          <w:sz w:val="30"/>
          <w:szCs w:val="30"/>
        </w:rPr>
        <w:t>13-3、境内跨境ETF发展现状是怎样的？</w:t>
      </w:r>
    </w:p>
    <w:p w:rsidR="00647A34" w:rsidRDefault="00647A34" w:rsidP="00647A34">
      <w:pPr>
        <w:rPr>
          <w:rFonts w:ascii="仿宋_GB2312" w:eastAsia="仿宋_GB2312"/>
          <w:sz w:val="30"/>
          <w:szCs w:val="30"/>
        </w:rPr>
      </w:pPr>
      <w:r>
        <w:rPr>
          <w:rFonts w:ascii="仿宋_GB2312" w:eastAsia="仿宋_GB2312" w:hint="eastAsia"/>
          <w:sz w:val="30"/>
          <w:szCs w:val="30"/>
        </w:rPr>
        <w:t>答：</w:t>
      </w:r>
      <w:r>
        <w:rPr>
          <w:rFonts w:ascii="仿宋_GB2312" w:eastAsia="仿宋_GB2312"/>
          <w:sz w:val="30"/>
          <w:szCs w:val="30"/>
        </w:rPr>
        <w:t>目前</w:t>
      </w:r>
      <w:r>
        <w:rPr>
          <w:rFonts w:ascii="仿宋_GB2312" w:eastAsia="仿宋_GB2312" w:hint="eastAsia"/>
          <w:sz w:val="30"/>
          <w:szCs w:val="30"/>
        </w:rPr>
        <w:t>A股市场</w:t>
      </w:r>
      <w:r>
        <w:rPr>
          <w:rFonts w:ascii="仿宋_GB2312" w:eastAsia="仿宋_GB2312"/>
          <w:sz w:val="30"/>
          <w:szCs w:val="30"/>
        </w:rPr>
        <w:t>共有超过</w:t>
      </w:r>
      <w:r>
        <w:rPr>
          <w:rFonts w:ascii="仿宋_GB2312" w:eastAsia="仿宋_GB2312" w:hint="eastAsia"/>
          <w:sz w:val="30"/>
          <w:szCs w:val="30"/>
        </w:rPr>
        <w:t>200多只</w:t>
      </w:r>
      <w:r>
        <w:rPr>
          <w:rFonts w:ascii="仿宋_GB2312" w:eastAsia="仿宋_GB2312"/>
          <w:sz w:val="30"/>
          <w:szCs w:val="30"/>
        </w:rPr>
        <w:t>ETF上市</w:t>
      </w:r>
      <w:r>
        <w:rPr>
          <w:rFonts w:ascii="仿宋_GB2312" w:eastAsia="仿宋_GB2312" w:hint="eastAsia"/>
          <w:sz w:val="30"/>
          <w:szCs w:val="30"/>
        </w:rPr>
        <w:t>。截至到</w:t>
      </w:r>
      <w:r>
        <w:rPr>
          <w:rFonts w:ascii="仿宋_GB2312" w:eastAsia="仿宋_GB2312"/>
          <w:sz w:val="30"/>
          <w:szCs w:val="30"/>
        </w:rPr>
        <w:t>2018</w:t>
      </w:r>
      <w:r>
        <w:rPr>
          <w:rFonts w:ascii="仿宋_GB2312" w:eastAsia="仿宋_GB2312" w:hint="eastAsia"/>
          <w:sz w:val="30"/>
          <w:szCs w:val="30"/>
        </w:rPr>
        <w:t>年，跨境</w:t>
      </w:r>
      <w:r>
        <w:rPr>
          <w:rFonts w:ascii="仿宋_GB2312" w:eastAsia="仿宋_GB2312"/>
          <w:sz w:val="30"/>
          <w:szCs w:val="30"/>
        </w:rPr>
        <w:t>ETF</w:t>
      </w:r>
      <w:r>
        <w:rPr>
          <w:rFonts w:ascii="仿宋_GB2312" w:eastAsia="仿宋_GB2312" w:hint="eastAsia"/>
          <w:sz w:val="30"/>
          <w:szCs w:val="30"/>
        </w:rPr>
        <w:t>规模达</w:t>
      </w:r>
      <w:r>
        <w:rPr>
          <w:rFonts w:ascii="仿宋_GB2312" w:eastAsia="仿宋_GB2312"/>
          <w:sz w:val="30"/>
          <w:szCs w:val="30"/>
        </w:rPr>
        <w:t>156</w:t>
      </w:r>
      <w:r>
        <w:rPr>
          <w:rFonts w:ascii="仿宋_GB2312" w:eastAsia="仿宋_GB2312" w:hint="eastAsia"/>
          <w:sz w:val="30"/>
          <w:szCs w:val="30"/>
        </w:rPr>
        <w:t>亿元，占境内</w:t>
      </w:r>
      <w:r>
        <w:rPr>
          <w:rFonts w:ascii="仿宋_GB2312" w:eastAsia="仿宋_GB2312"/>
          <w:sz w:val="30"/>
          <w:szCs w:val="30"/>
        </w:rPr>
        <w:t>ETF</w:t>
      </w:r>
      <w:r>
        <w:rPr>
          <w:rFonts w:ascii="仿宋_GB2312" w:eastAsia="仿宋_GB2312" w:hint="eastAsia"/>
          <w:sz w:val="30"/>
          <w:szCs w:val="30"/>
        </w:rPr>
        <w:t>市场份额</w:t>
      </w:r>
      <w:r>
        <w:rPr>
          <w:rFonts w:ascii="仿宋_GB2312" w:eastAsia="仿宋_GB2312"/>
          <w:sz w:val="30"/>
          <w:szCs w:val="30"/>
        </w:rPr>
        <w:t>4%</w:t>
      </w:r>
      <w:r>
        <w:rPr>
          <w:rFonts w:ascii="仿宋_GB2312" w:eastAsia="仿宋_GB2312" w:hint="eastAsia"/>
          <w:sz w:val="30"/>
          <w:szCs w:val="30"/>
        </w:rPr>
        <w:t>，在过去的3年里，规模扩大逾2倍。境内市场跨境E</w:t>
      </w:r>
      <w:r>
        <w:rPr>
          <w:rFonts w:ascii="仿宋_GB2312" w:eastAsia="仿宋_GB2312"/>
          <w:sz w:val="30"/>
          <w:szCs w:val="30"/>
        </w:rPr>
        <w:t>TF</w:t>
      </w:r>
      <w:r>
        <w:rPr>
          <w:rFonts w:ascii="仿宋_GB2312" w:eastAsia="仿宋_GB2312" w:hint="eastAsia"/>
          <w:sz w:val="30"/>
          <w:szCs w:val="30"/>
        </w:rPr>
        <w:t>逐渐成为资产全球配置的重要工具。</w:t>
      </w:r>
    </w:p>
    <w:p w:rsidR="00647A34" w:rsidRDefault="00647A34" w:rsidP="00647A34">
      <w:pPr>
        <w:ind w:firstLineChars="200" w:firstLine="600"/>
        <w:rPr>
          <w:rFonts w:ascii="仿宋_GB2312" w:eastAsia="仿宋_GB2312"/>
          <w:sz w:val="30"/>
          <w:szCs w:val="30"/>
        </w:rPr>
      </w:pPr>
      <w:r>
        <w:rPr>
          <w:rFonts w:ascii="仿宋_GB2312" w:eastAsia="仿宋_GB2312"/>
          <w:sz w:val="30"/>
          <w:szCs w:val="30"/>
        </w:rPr>
        <w:t>近几年来，</w:t>
      </w:r>
      <w:r>
        <w:rPr>
          <w:rFonts w:ascii="仿宋_GB2312" w:eastAsia="仿宋_GB2312" w:hint="eastAsia"/>
          <w:sz w:val="30"/>
          <w:szCs w:val="30"/>
        </w:rPr>
        <w:t>我国交易所</w:t>
      </w:r>
      <w:r>
        <w:rPr>
          <w:rFonts w:ascii="仿宋_GB2312" w:eastAsia="仿宋_GB2312"/>
          <w:sz w:val="30"/>
          <w:szCs w:val="30"/>
        </w:rPr>
        <w:t>和基金公司</w:t>
      </w:r>
      <w:r>
        <w:rPr>
          <w:rFonts w:ascii="仿宋_GB2312" w:eastAsia="仿宋_GB2312" w:hint="eastAsia"/>
          <w:sz w:val="30"/>
          <w:szCs w:val="30"/>
        </w:rPr>
        <w:t>不停地</w:t>
      </w:r>
      <w:r>
        <w:rPr>
          <w:rFonts w:ascii="仿宋_GB2312" w:eastAsia="仿宋_GB2312"/>
          <w:sz w:val="30"/>
          <w:szCs w:val="30"/>
        </w:rPr>
        <w:t>筹划</w:t>
      </w:r>
      <w:r>
        <w:rPr>
          <w:rFonts w:ascii="仿宋_GB2312" w:eastAsia="仿宋_GB2312" w:hint="eastAsia"/>
          <w:sz w:val="30"/>
          <w:szCs w:val="30"/>
        </w:rPr>
        <w:t>并已开发出不少种类</w:t>
      </w:r>
      <w:r>
        <w:rPr>
          <w:rFonts w:ascii="仿宋_GB2312" w:eastAsia="仿宋_GB2312"/>
          <w:sz w:val="30"/>
          <w:szCs w:val="30"/>
        </w:rPr>
        <w:t>跨境ETF产品。</w:t>
      </w:r>
      <w:r>
        <w:rPr>
          <w:rFonts w:ascii="仿宋_GB2312" w:eastAsia="仿宋_GB2312" w:hint="eastAsia"/>
          <w:sz w:val="30"/>
          <w:szCs w:val="30"/>
        </w:rPr>
        <w:t>除了港股</w:t>
      </w:r>
      <w:r>
        <w:rPr>
          <w:rFonts w:ascii="仿宋_GB2312" w:eastAsia="仿宋_GB2312"/>
          <w:sz w:val="30"/>
          <w:szCs w:val="30"/>
        </w:rPr>
        <w:t>ETF外，还包括</w:t>
      </w:r>
      <w:proofErr w:type="gramStart"/>
      <w:r>
        <w:rPr>
          <w:rFonts w:ascii="仿宋_GB2312" w:eastAsia="仿宋_GB2312"/>
          <w:sz w:val="30"/>
          <w:szCs w:val="30"/>
        </w:rPr>
        <w:t>以标普</w:t>
      </w:r>
      <w:proofErr w:type="gramEnd"/>
      <w:r>
        <w:rPr>
          <w:rFonts w:ascii="仿宋_GB2312" w:eastAsia="仿宋_GB2312"/>
          <w:sz w:val="30"/>
          <w:szCs w:val="30"/>
        </w:rPr>
        <w:t>500、</w:t>
      </w:r>
      <w:r>
        <w:rPr>
          <w:rFonts w:ascii="仿宋_GB2312" w:eastAsia="仿宋_GB2312" w:hint="eastAsia"/>
          <w:sz w:val="30"/>
          <w:szCs w:val="30"/>
        </w:rPr>
        <w:t>纳斯达克</w:t>
      </w:r>
      <w:r>
        <w:rPr>
          <w:rFonts w:ascii="仿宋_GB2312" w:eastAsia="仿宋_GB2312"/>
          <w:sz w:val="30"/>
          <w:szCs w:val="30"/>
        </w:rPr>
        <w:t>100、</w:t>
      </w:r>
      <w:r>
        <w:rPr>
          <w:rFonts w:ascii="仿宋_GB2312" w:eastAsia="仿宋_GB2312" w:hint="eastAsia"/>
          <w:sz w:val="30"/>
          <w:szCs w:val="30"/>
        </w:rPr>
        <w:t>日经225、德国DAX</w:t>
      </w:r>
      <w:r>
        <w:rPr>
          <w:rFonts w:ascii="仿宋_GB2312" w:eastAsia="仿宋_GB2312"/>
          <w:sz w:val="30"/>
          <w:szCs w:val="30"/>
        </w:rPr>
        <w:t>30等</w:t>
      </w:r>
      <w:r>
        <w:rPr>
          <w:rFonts w:ascii="仿宋_GB2312" w:eastAsia="仿宋_GB2312" w:hint="eastAsia"/>
          <w:sz w:val="30"/>
          <w:szCs w:val="30"/>
        </w:rPr>
        <w:t>国际重要市场指数</w:t>
      </w:r>
      <w:r>
        <w:rPr>
          <w:rFonts w:ascii="仿宋_GB2312" w:eastAsia="仿宋_GB2312"/>
          <w:sz w:val="30"/>
          <w:szCs w:val="30"/>
        </w:rPr>
        <w:t>为跟踪</w:t>
      </w:r>
      <w:r>
        <w:rPr>
          <w:rFonts w:ascii="仿宋_GB2312" w:eastAsia="仿宋_GB2312" w:hint="eastAsia"/>
          <w:sz w:val="30"/>
          <w:szCs w:val="30"/>
        </w:rPr>
        <w:lastRenderedPageBreak/>
        <w:t>目标</w:t>
      </w:r>
      <w:r>
        <w:rPr>
          <w:rFonts w:ascii="仿宋_GB2312" w:eastAsia="仿宋_GB2312"/>
          <w:sz w:val="30"/>
          <w:szCs w:val="30"/>
        </w:rPr>
        <w:t>的跨境ETF，</w:t>
      </w:r>
      <w:r>
        <w:rPr>
          <w:rFonts w:ascii="仿宋_GB2312" w:eastAsia="仿宋_GB2312" w:hint="eastAsia"/>
          <w:sz w:val="30"/>
          <w:szCs w:val="30"/>
        </w:rPr>
        <w:t>涵盖了</w:t>
      </w:r>
      <w:r>
        <w:rPr>
          <w:rFonts w:ascii="仿宋_GB2312" w:eastAsia="仿宋_GB2312"/>
          <w:sz w:val="30"/>
          <w:szCs w:val="30"/>
        </w:rPr>
        <w:t>全球主要经济体和市场。</w:t>
      </w:r>
    </w:p>
    <w:p w:rsidR="00647A34" w:rsidRDefault="00647A34" w:rsidP="00647A34">
      <w:pPr>
        <w:rPr>
          <w:rFonts w:ascii="仿宋_GB2312" w:eastAsia="仿宋_GB2312"/>
          <w:sz w:val="30"/>
          <w:szCs w:val="30"/>
        </w:rPr>
      </w:pPr>
    </w:p>
    <w:p w:rsidR="00647A34" w:rsidRDefault="00647A34" w:rsidP="00647A34">
      <w:pPr>
        <w:rPr>
          <w:rFonts w:ascii="仿宋_GB2312" w:eastAsia="仿宋_GB2312"/>
          <w:b/>
          <w:sz w:val="30"/>
          <w:szCs w:val="30"/>
        </w:rPr>
      </w:pPr>
      <w:r>
        <w:rPr>
          <w:rFonts w:ascii="仿宋_GB2312" w:eastAsia="仿宋_GB2312" w:hint="eastAsia"/>
          <w:b/>
          <w:sz w:val="30"/>
          <w:szCs w:val="30"/>
        </w:rPr>
        <w:t>第十四期</w:t>
      </w:r>
    </w:p>
    <w:p w:rsidR="00647A34" w:rsidRDefault="00647A34" w:rsidP="00647A34">
      <w:pPr>
        <w:rPr>
          <w:rFonts w:ascii="仿宋_GB2312" w:eastAsia="仿宋_GB2312"/>
          <w:b/>
          <w:sz w:val="30"/>
          <w:szCs w:val="30"/>
        </w:rPr>
      </w:pPr>
      <w:r>
        <w:rPr>
          <w:rFonts w:ascii="仿宋_GB2312" w:eastAsia="仿宋_GB2312" w:hint="eastAsia"/>
          <w:b/>
          <w:sz w:val="30"/>
          <w:szCs w:val="30"/>
        </w:rPr>
        <w:t xml:space="preserve">14-1、投资者如何参与跨境ETF投资？ </w:t>
      </w:r>
    </w:p>
    <w:p w:rsidR="00647A34" w:rsidRDefault="00647A34" w:rsidP="00647A34">
      <w:pPr>
        <w:rPr>
          <w:rFonts w:ascii="仿宋_GB2312" w:eastAsia="仿宋_GB2312"/>
          <w:sz w:val="30"/>
          <w:szCs w:val="30"/>
        </w:rPr>
      </w:pPr>
      <w:r>
        <w:rPr>
          <w:rFonts w:ascii="仿宋_GB2312" w:eastAsia="仿宋_GB2312" w:hint="eastAsia"/>
          <w:sz w:val="30"/>
          <w:szCs w:val="30"/>
        </w:rPr>
        <w:t>答：国内投资者只需开立证券交易账户，即可以通过场外申购或者二级市场买入的方式获得跨境ETF份额，便捷地投资海外资产，而</w:t>
      </w:r>
      <w:r>
        <w:rPr>
          <w:rFonts w:ascii="仿宋_GB2312" w:eastAsia="仿宋_GB2312" w:hint="eastAsia"/>
          <w:b/>
          <w:sz w:val="30"/>
          <w:szCs w:val="30"/>
        </w:rPr>
        <w:t>无需出境办理</w:t>
      </w:r>
      <w:r>
        <w:rPr>
          <w:rFonts w:ascii="仿宋_GB2312" w:eastAsia="仿宋_GB2312" w:hint="eastAsia"/>
          <w:sz w:val="30"/>
          <w:szCs w:val="30"/>
        </w:rPr>
        <w:t>繁琐手续。</w:t>
      </w:r>
    </w:p>
    <w:p w:rsidR="00647A34" w:rsidRDefault="00647A34" w:rsidP="00647A34">
      <w:pPr>
        <w:rPr>
          <w:rFonts w:ascii="华文楷体" w:hAnsi="华文楷体"/>
          <w:sz w:val="28"/>
          <w:szCs w:val="28"/>
        </w:rPr>
      </w:pPr>
    </w:p>
    <w:p w:rsidR="00647A34" w:rsidRDefault="00647A34" w:rsidP="00647A34">
      <w:pPr>
        <w:rPr>
          <w:rFonts w:ascii="仿宋_GB2312" w:eastAsia="仿宋_GB2312"/>
          <w:b/>
          <w:sz w:val="30"/>
          <w:szCs w:val="30"/>
        </w:rPr>
      </w:pPr>
      <w:r>
        <w:rPr>
          <w:rFonts w:ascii="仿宋_GB2312" w:eastAsia="仿宋_GB2312" w:hint="eastAsia"/>
          <w:b/>
          <w:sz w:val="30"/>
          <w:szCs w:val="30"/>
        </w:rPr>
        <w:t>14-2、我国</w:t>
      </w:r>
      <w:r>
        <w:rPr>
          <w:rFonts w:ascii="仿宋_GB2312" w:eastAsia="仿宋_GB2312"/>
          <w:b/>
          <w:sz w:val="30"/>
          <w:szCs w:val="30"/>
        </w:rPr>
        <w:t>跨境ETF</w:t>
      </w:r>
      <w:r>
        <w:rPr>
          <w:rFonts w:ascii="仿宋_GB2312" w:eastAsia="仿宋_GB2312" w:hint="eastAsia"/>
          <w:b/>
          <w:sz w:val="30"/>
          <w:szCs w:val="30"/>
        </w:rPr>
        <w:t>的交易方式是怎样的？</w:t>
      </w:r>
    </w:p>
    <w:p w:rsidR="00647A34" w:rsidRDefault="00647A34" w:rsidP="00647A34">
      <w:pPr>
        <w:rPr>
          <w:rFonts w:ascii="仿宋_GB2312" w:eastAsia="仿宋_GB2312"/>
          <w:sz w:val="30"/>
          <w:szCs w:val="30"/>
        </w:rPr>
      </w:pPr>
      <w:r>
        <w:rPr>
          <w:rFonts w:ascii="仿宋_GB2312" w:eastAsia="仿宋_GB2312" w:hint="eastAsia"/>
          <w:sz w:val="30"/>
          <w:szCs w:val="30"/>
        </w:rPr>
        <w:t>答：如下表所示：</w:t>
      </w:r>
    </w:p>
    <w:tbl>
      <w:tblPr>
        <w:tblStyle w:val="a5"/>
        <w:tblW w:w="8642" w:type="dxa"/>
        <w:tblLayout w:type="fixed"/>
        <w:tblLook w:val="04A0"/>
      </w:tblPr>
      <w:tblGrid>
        <w:gridCol w:w="2155"/>
        <w:gridCol w:w="6487"/>
      </w:tblGrid>
      <w:tr w:rsidR="00647A34" w:rsidTr="00271E35">
        <w:tc>
          <w:tcPr>
            <w:tcW w:w="2155" w:type="dxa"/>
          </w:tcPr>
          <w:p w:rsidR="00647A34" w:rsidRDefault="00647A34" w:rsidP="00271E35">
            <w:pPr>
              <w:spacing w:line="360" w:lineRule="auto"/>
              <w:jc w:val="left"/>
              <w:rPr>
                <w:rFonts w:ascii="华文楷体" w:eastAsia="华文楷体" w:hAnsi="华文楷体"/>
                <w:b/>
                <w:sz w:val="28"/>
                <w:szCs w:val="28"/>
              </w:rPr>
            </w:pPr>
            <w:r>
              <w:rPr>
                <w:rFonts w:ascii="华文楷体" w:eastAsia="华文楷体" w:hAnsi="华文楷体" w:hint="eastAsia"/>
                <w:b/>
                <w:sz w:val="28"/>
                <w:szCs w:val="28"/>
              </w:rPr>
              <w:t>买入与卖出</w:t>
            </w:r>
          </w:p>
        </w:tc>
        <w:tc>
          <w:tcPr>
            <w:tcW w:w="6487" w:type="dxa"/>
          </w:tcPr>
          <w:p w:rsidR="00647A34" w:rsidRDefault="00647A34" w:rsidP="00271E35">
            <w:pPr>
              <w:spacing w:line="360" w:lineRule="auto"/>
              <w:jc w:val="left"/>
              <w:rPr>
                <w:rFonts w:ascii="华文楷体" w:eastAsia="华文楷体" w:hAnsi="华文楷体"/>
                <w:sz w:val="28"/>
                <w:szCs w:val="28"/>
              </w:rPr>
            </w:pPr>
            <w:r>
              <w:rPr>
                <w:rFonts w:ascii="华文楷体" w:eastAsia="华文楷体" w:hAnsi="华文楷体" w:hint="eastAsia"/>
                <w:sz w:val="28"/>
                <w:szCs w:val="28"/>
              </w:rPr>
              <w:t>T日买入的跨境ETF基金份额，当天（T+0）可卖出</w:t>
            </w:r>
          </w:p>
        </w:tc>
      </w:tr>
      <w:tr w:rsidR="00647A34" w:rsidTr="00271E35">
        <w:tc>
          <w:tcPr>
            <w:tcW w:w="2155" w:type="dxa"/>
          </w:tcPr>
          <w:p w:rsidR="00647A34" w:rsidRDefault="00647A34" w:rsidP="00271E35">
            <w:pPr>
              <w:spacing w:line="360" w:lineRule="auto"/>
              <w:jc w:val="left"/>
              <w:rPr>
                <w:rFonts w:ascii="华文楷体" w:eastAsia="华文楷体" w:hAnsi="华文楷体"/>
                <w:b/>
                <w:sz w:val="28"/>
                <w:szCs w:val="28"/>
              </w:rPr>
            </w:pPr>
            <w:r>
              <w:rPr>
                <w:rFonts w:ascii="华文楷体" w:eastAsia="华文楷体" w:hAnsi="华文楷体" w:hint="eastAsia"/>
                <w:b/>
                <w:sz w:val="28"/>
                <w:szCs w:val="28"/>
              </w:rPr>
              <w:t>卖出资金到账</w:t>
            </w:r>
          </w:p>
        </w:tc>
        <w:tc>
          <w:tcPr>
            <w:tcW w:w="6487" w:type="dxa"/>
          </w:tcPr>
          <w:p w:rsidR="00647A34" w:rsidRDefault="00647A34" w:rsidP="00271E35">
            <w:pPr>
              <w:spacing w:line="360" w:lineRule="auto"/>
              <w:jc w:val="left"/>
              <w:rPr>
                <w:rFonts w:ascii="华文楷体" w:eastAsia="华文楷体" w:hAnsi="华文楷体"/>
                <w:sz w:val="28"/>
                <w:szCs w:val="28"/>
              </w:rPr>
            </w:pPr>
            <w:r>
              <w:rPr>
                <w:rFonts w:ascii="华文楷体" w:eastAsia="华文楷体" w:hAnsi="华文楷体" w:hint="eastAsia"/>
                <w:sz w:val="28"/>
                <w:szCs w:val="28"/>
              </w:rPr>
              <w:t>T日卖出可实时买入其他证券</w:t>
            </w:r>
            <w:r w:rsidRPr="0064359D">
              <w:rPr>
                <w:rFonts w:ascii="华文楷体" w:eastAsia="华文楷体" w:hAnsi="华文楷体" w:hint="eastAsia"/>
                <w:sz w:val="28"/>
                <w:szCs w:val="28"/>
              </w:rPr>
              <w:t>，T+1日可取</w:t>
            </w:r>
          </w:p>
        </w:tc>
      </w:tr>
      <w:tr w:rsidR="00647A34" w:rsidTr="00271E35">
        <w:tc>
          <w:tcPr>
            <w:tcW w:w="2155" w:type="dxa"/>
          </w:tcPr>
          <w:p w:rsidR="00647A34" w:rsidRDefault="00647A34" w:rsidP="00271E35">
            <w:pPr>
              <w:spacing w:line="360" w:lineRule="auto"/>
              <w:jc w:val="left"/>
              <w:rPr>
                <w:rFonts w:ascii="华文楷体" w:eastAsia="华文楷体" w:hAnsi="华文楷体"/>
                <w:b/>
                <w:sz w:val="28"/>
                <w:szCs w:val="28"/>
                <w:lang w:val="en-GB"/>
              </w:rPr>
            </w:pPr>
            <w:r>
              <w:rPr>
                <w:rFonts w:ascii="华文楷体" w:eastAsia="华文楷体" w:hAnsi="华文楷体"/>
                <w:b/>
                <w:sz w:val="28"/>
                <w:szCs w:val="28"/>
              </w:rPr>
              <w:t>申购与赎回</w:t>
            </w:r>
          </w:p>
        </w:tc>
        <w:tc>
          <w:tcPr>
            <w:tcW w:w="6487" w:type="dxa"/>
          </w:tcPr>
          <w:p w:rsidR="00647A34" w:rsidRDefault="00647A34" w:rsidP="00271E35">
            <w:pPr>
              <w:spacing w:line="360" w:lineRule="auto"/>
              <w:jc w:val="left"/>
              <w:rPr>
                <w:rFonts w:ascii="华文楷体" w:eastAsia="华文楷体" w:hAnsi="华文楷体"/>
                <w:sz w:val="28"/>
                <w:szCs w:val="28"/>
              </w:rPr>
            </w:pPr>
            <w:r>
              <w:rPr>
                <w:rFonts w:ascii="华文楷体" w:eastAsia="华文楷体" w:hAnsi="华文楷体" w:hint="eastAsia"/>
                <w:sz w:val="28"/>
                <w:szCs w:val="28"/>
              </w:rPr>
              <w:t>T日跨境ETF申购，T+1日日终确认基金份额（以受理申请当日各证券市场收市后计算的基金份额净值折算为人民币为基准进行计算），T+2日可以卖出或者赎回</w:t>
            </w:r>
          </w:p>
        </w:tc>
      </w:tr>
      <w:tr w:rsidR="00647A34" w:rsidTr="00271E35">
        <w:tc>
          <w:tcPr>
            <w:tcW w:w="2155" w:type="dxa"/>
          </w:tcPr>
          <w:p w:rsidR="00647A34" w:rsidRDefault="00647A34" w:rsidP="00271E35">
            <w:pPr>
              <w:spacing w:line="360" w:lineRule="auto"/>
              <w:jc w:val="left"/>
              <w:rPr>
                <w:rFonts w:ascii="华文楷体" w:eastAsia="华文楷体" w:hAnsi="华文楷体"/>
                <w:b/>
                <w:sz w:val="28"/>
                <w:szCs w:val="28"/>
              </w:rPr>
            </w:pPr>
            <w:r>
              <w:rPr>
                <w:rFonts w:ascii="华文楷体" w:eastAsia="华文楷体" w:hAnsi="华文楷体" w:hint="eastAsia"/>
                <w:b/>
                <w:sz w:val="28"/>
                <w:szCs w:val="28"/>
              </w:rPr>
              <w:t>赎回</w:t>
            </w:r>
            <w:r>
              <w:rPr>
                <w:rFonts w:ascii="华文楷体" w:eastAsia="华文楷体" w:hAnsi="华文楷体"/>
                <w:b/>
                <w:sz w:val="28"/>
                <w:szCs w:val="28"/>
              </w:rPr>
              <w:t>资金到账</w:t>
            </w:r>
          </w:p>
        </w:tc>
        <w:tc>
          <w:tcPr>
            <w:tcW w:w="6487" w:type="dxa"/>
          </w:tcPr>
          <w:p w:rsidR="00647A34" w:rsidRDefault="00647A34" w:rsidP="00271E35">
            <w:pPr>
              <w:spacing w:line="360" w:lineRule="auto"/>
              <w:jc w:val="left"/>
              <w:rPr>
                <w:rFonts w:ascii="华文楷体" w:eastAsia="华文楷体" w:hAnsi="华文楷体"/>
                <w:sz w:val="28"/>
                <w:szCs w:val="28"/>
              </w:rPr>
            </w:pPr>
            <w:r>
              <w:rPr>
                <w:rFonts w:ascii="华文楷体" w:eastAsia="华文楷体" w:hAnsi="华文楷体" w:hint="eastAsia"/>
                <w:sz w:val="28"/>
                <w:szCs w:val="28"/>
              </w:rPr>
              <w:t>T</w:t>
            </w:r>
            <w:r>
              <w:rPr>
                <w:rFonts w:ascii="华文楷体" w:eastAsia="华文楷体" w:hAnsi="华文楷体"/>
                <w:sz w:val="28"/>
                <w:szCs w:val="28"/>
              </w:rPr>
              <w:t>日</w:t>
            </w:r>
            <w:r>
              <w:rPr>
                <w:rFonts w:ascii="华文楷体" w:eastAsia="华文楷体" w:hAnsi="华文楷体" w:hint="eastAsia"/>
                <w:sz w:val="28"/>
                <w:szCs w:val="28"/>
              </w:rPr>
              <w:t>赎回</w:t>
            </w:r>
            <w:r>
              <w:rPr>
                <w:rFonts w:ascii="华文楷体" w:eastAsia="华文楷体" w:hAnsi="华文楷体"/>
                <w:sz w:val="28"/>
                <w:szCs w:val="28"/>
              </w:rPr>
              <w:t>的基金份额</w:t>
            </w:r>
            <w:r w:rsidRPr="0064359D">
              <w:rPr>
                <w:rFonts w:ascii="华文楷体" w:eastAsia="华文楷体" w:hAnsi="华文楷体" w:hint="eastAsia"/>
                <w:sz w:val="28"/>
                <w:szCs w:val="28"/>
              </w:rPr>
              <w:t>以资金的形式</w:t>
            </w:r>
            <w:r>
              <w:rPr>
                <w:rFonts w:ascii="华文楷体" w:eastAsia="华文楷体" w:hAnsi="华文楷体" w:hint="eastAsia"/>
                <w:sz w:val="28"/>
                <w:szCs w:val="28"/>
              </w:rPr>
              <w:t>在T+10日内划转投资者账户</w:t>
            </w:r>
          </w:p>
        </w:tc>
      </w:tr>
      <w:tr w:rsidR="00647A34" w:rsidTr="00271E35">
        <w:tc>
          <w:tcPr>
            <w:tcW w:w="2155" w:type="dxa"/>
          </w:tcPr>
          <w:p w:rsidR="00647A34" w:rsidRDefault="00647A34" w:rsidP="00271E35">
            <w:pPr>
              <w:spacing w:line="360" w:lineRule="auto"/>
              <w:jc w:val="left"/>
              <w:rPr>
                <w:rFonts w:ascii="华文楷体" w:eastAsia="华文楷体" w:hAnsi="华文楷体"/>
                <w:b/>
                <w:sz w:val="28"/>
                <w:szCs w:val="28"/>
              </w:rPr>
            </w:pPr>
            <w:r>
              <w:rPr>
                <w:rFonts w:ascii="华文楷体" w:eastAsia="华文楷体" w:hAnsi="华文楷体"/>
                <w:b/>
                <w:sz w:val="28"/>
                <w:szCs w:val="28"/>
              </w:rPr>
              <w:t>交易</w:t>
            </w:r>
            <w:r>
              <w:rPr>
                <w:rFonts w:ascii="华文楷体" w:eastAsia="华文楷体" w:hAnsi="华文楷体" w:hint="eastAsia"/>
                <w:b/>
                <w:sz w:val="28"/>
                <w:szCs w:val="28"/>
              </w:rPr>
              <w:t>时间</w:t>
            </w:r>
          </w:p>
        </w:tc>
        <w:tc>
          <w:tcPr>
            <w:tcW w:w="6487" w:type="dxa"/>
          </w:tcPr>
          <w:p w:rsidR="00647A34" w:rsidRDefault="00647A34" w:rsidP="00271E35">
            <w:pPr>
              <w:spacing w:line="360" w:lineRule="auto"/>
              <w:jc w:val="left"/>
              <w:rPr>
                <w:rFonts w:ascii="华文楷体" w:eastAsia="华文楷体" w:hAnsi="华文楷体"/>
                <w:sz w:val="28"/>
                <w:szCs w:val="28"/>
              </w:rPr>
            </w:pPr>
            <w:proofErr w:type="gramStart"/>
            <w:r>
              <w:rPr>
                <w:rFonts w:ascii="华文楷体" w:eastAsia="华文楷体" w:hAnsi="华文楷体" w:hint="eastAsia"/>
                <w:sz w:val="28"/>
                <w:szCs w:val="28"/>
              </w:rPr>
              <w:t>申赎交易</w:t>
            </w:r>
            <w:proofErr w:type="gramEnd"/>
            <w:r>
              <w:rPr>
                <w:rFonts w:ascii="华文楷体" w:eastAsia="华文楷体" w:hAnsi="华文楷体" w:hint="eastAsia"/>
                <w:sz w:val="28"/>
                <w:szCs w:val="28"/>
              </w:rPr>
              <w:t>一般安排在境内证券交易所和境外证券交易所同时交易的时段，买卖交易一般安排在境内证券交易所交易时段</w:t>
            </w:r>
          </w:p>
        </w:tc>
      </w:tr>
    </w:tbl>
    <w:p w:rsidR="006E188B" w:rsidRPr="00647A34" w:rsidRDefault="006E188B" w:rsidP="00197644"/>
    <w:sectPr w:rsidR="006E188B" w:rsidRPr="00647A34" w:rsidSect="00322B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88B"/>
    <w:rsid w:val="000246DF"/>
    <w:rsid w:val="000E77F9"/>
    <w:rsid w:val="00112242"/>
    <w:rsid w:val="00197644"/>
    <w:rsid w:val="00322BDB"/>
    <w:rsid w:val="0047375B"/>
    <w:rsid w:val="00505A41"/>
    <w:rsid w:val="00637FB8"/>
    <w:rsid w:val="00647A34"/>
    <w:rsid w:val="006E188B"/>
    <w:rsid w:val="00A0412D"/>
    <w:rsid w:val="00B17318"/>
    <w:rsid w:val="00DE3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B8"/>
    <w:pPr>
      <w:widowControl w:val="0"/>
      <w:jc w:val="both"/>
    </w:pPr>
  </w:style>
  <w:style w:type="paragraph" w:styleId="1">
    <w:name w:val="heading 1"/>
    <w:basedOn w:val="a"/>
    <w:next w:val="a"/>
    <w:link w:val="1Char"/>
    <w:uiPriority w:val="9"/>
    <w:qFormat/>
    <w:rsid w:val="00637F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37F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37F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7FB8"/>
    <w:rPr>
      <w:b/>
      <w:bCs/>
      <w:kern w:val="44"/>
      <w:sz w:val="44"/>
      <w:szCs w:val="44"/>
    </w:rPr>
  </w:style>
  <w:style w:type="character" w:customStyle="1" w:styleId="2Char">
    <w:name w:val="标题 2 Char"/>
    <w:basedOn w:val="a0"/>
    <w:link w:val="2"/>
    <w:uiPriority w:val="9"/>
    <w:rsid w:val="00637FB8"/>
    <w:rPr>
      <w:rFonts w:asciiTheme="majorHAnsi" w:eastAsiaTheme="majorEastAsia" w:hAnsiTheme="majorHAnsi" w:cstheme="majorBidi"/>
      <w:b/>
      <w:bCs/>
      <w:sz w:val="32"/>
      <w:szCs w:val="32"/>
    </w:rPr>
  </w:style>
  <w:style w:type="paragraph" w:styleId="a3">
    <w:name w:val="Title"/>
    <w:basedOn w:val="a"/>
    <w:next w:val="a"/>
    <w:link w:val="Char"/>
    <w:uiPriority w:val="10"/>
    <w:qFormat/>
    <w:rsid w:val="000246D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246DF"/>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0246DF"/>
    <w:pPr>
      <w:outlineLvl w:val="9"/>
    </w:pPr>
  </w:style>
  <w:style w:type="character" w:customStyle="1" w:styleId="3Char">
    <w:name w:val="标题 3 Char"/>
    <w:basedOn w:val="a0"/>
    <w:link w:val="3"/>
    <w:uiPriority w:val="9"/>
    <w:semiHidden/>
    <w:rsid w:val="00637FB8"/>
    <w:rPr>
      <w:b/>
      <w:bCs/>
      <w:sz w:val="32"/>
      <w:szCs w:val="32"/>
    </w:rPr>
  </w:style>
  <w:style w:type="paragraph" w:styleId="a4">
    <w:name w:val="No Spacing"/>
    <w:link w:val="Char0"/>
    <w:uiPriority w:val="1"/>
    <w:qFormat/>
    <w:rsid w:val="00637FB8"/>
    <w:rPr>
      <w:kern w:val="0"/>
      <w:sz w:val="22"/>
    </w:rPr>
  </w:style>
  <w:style w:type="character" w:customStyle="1" w:styleId="Char0">
    <w:name w:val="无间隔 Char"/>
    <w:basedOn w:val="a0"/>
    <w:link w:val="a4"/>
    <w:uiPriority w:val="1"/>
    <w:rsid w:val="00637FB8"/>
    <w:rPr>
      <w:kern w:val="0"/>
      <w:sz w:val="22"/>
    </w:rPr>
  </w:style>
  <w:style w:type="paragraph" w:customStyle="1" w:styleId="10">
    <w:name w:val="次标题1"/>
    <w:basedOn w:val="a"/>
    <w:link w:val="1Char0"/>
    <w:qFormat/>
    <w:rsid w:val="00637FB8"/>
    <w:pPr>
      <w:ind w:firstLineChars="200" w:firstLine="600"/>
    </w:pPr>
    <w:rPr>
      <w:rFonts w:ascii="黑体" w:eastAsia="黑体" w:hAnsi="黑体"/>
      <w:sz w:val="30"/>
      <w:szCs w:val="30"/>
    </w:rPr>
  </w:style>
  <w:style w:type="character" w:customStyle="1" w:styleId="1Char0">
    <w:name w:val="次标题1 Char"/>
    <w:basedOn w:val="a0"/>
    <w:link w:val="10"/>
    <w:rsid w:val="00637FB8"/>
    <w:rPr>
      <w:rFonts w:ascii="黑体" w:eastAsia="黑体" w:hAnsi="黑体"/>
      <w:sz w:val="30"/>
      <w:szCs w:val="30"/>
    </w:rPr>
  </w:style>
  <w:style w:type="paragraph" w:customStyle="1" w:styleId="20">
    <w:name w:val="此标题2"/>
    <w:basedOn w:val="a"/>
    <w:link w:val="2Char0"/>
    <w:qFormat/>
    <w:rsid w:val="00637FB8"/>
    <w:pPr>
      <w:ind w:firstLineChars="200" w:firstLine="602"/>
    </w:pPr>
    <w:rPr>
      <w:rFonts w:ascii="楷体_GB2312" w:eastAsia="楷体_GB2312" w:hAnsi="黑体"/>
      <w:b/>
      <w:sz w:val="30"/>
      <w:szCs w:val="30"/>
    </w:rPr>
  </w:style>
  <w:style w:type="character" w:customStyle="1" w:styleId="2Char0">
    <w:name w:val="此标题2 Char"/>
    <w:basedOn w:val="a0"/>
    <w:link w:val="20"/>
    <w:rsid w:val="00637FB8"/>
    <w:rPr>
      <w:rFonts w:ascii="楷体_GB2312" w:eastAsia="楷体_GB2312" w:hAnsi="黑体"/>
      <w:b/>
      <w:sz w:val="30"/>
      <w:szCs w:val="30"/>
    </w:rPr>
  </w:style>
  <w:style w:type="paragraph" w:customStyle="1" w:styleId="30">
    <w:name w:val="次标题3"/>
    <w:basedOn w:val="a"/>
    <w:link w:val="3Char0"/>
    <w:qFormat/>
    <w:rsid w:val="00637FB8"/>
    <w:pPr>
      <w:ind w:firstLineChars="200" w:firstLine="602"/>
    </w:pPr>
    <w:rPr>
      <w:rFonts w:ascii="楷体_GB2312" w:eastAsia="楷体_GB2312" w:hAnsi="黑体"/>
      <w:b/>
      <w:sz w:val="30"/>
      <w:szCs w:val="30"/>
    </w:rPr>
  </w:style>
  <w:style w:type="character" w:customStyle="1" w:styleId="3Char0">
    <w:name w:val="次标题3 Char"/>
    <w:basedOn w:val="a0"/>
    <w:link w:val="30"/>
    <w:rsid w:val="00637FB8"/>
    <w:rPr>
      <w:rFonts w:ascii="楷体_GB2312" w:eastAsia="楷体_GB2312" w:hAnsi="黑体"/>
      <w:b/>
      <w:sz w:val="30"/>
      <w:szCs w:val="30"/>
    </w:rPr>
  </w:style>
  <w:style w:type="paragraph" w:customStyle="1" w:styleId="11">
    <w:name w:val="正文1"/>
    <w:basedOn w:val="a"/>
    <w:link w:val="Char1"/>
    <w:qFormat/>
    <w:rsid w:val="00637FB8"/>
    <w:pPr>
      <w:ind w:firstLineChars="200" w:firstLine="600"/>
    </w:pPr>
    <w:rPr>
      <w:rFonts w:ascii="仿宋_GB2312" w:eastAsia="仿宋_GB2312" w:hAnsi="黑体"/>
      <w:sz w:val="30"/>
      <w:szCs w:val="30"/>
    </w:rPr>
  </w:style>
  <w:style w:type="character" w:customStyle="1" w:styleId="Char1">
    <w:name w:val="正文 Char"/>
    <w:basedOn w:val="a0"/>
    <w:link w:val="11"/>
    <w:rsid w:val="00637FB8"/>
    <w:rPr>
      <w:rFonts w:ascii="仿宋_GB2312" w:eastAsia="仿宋_GB2312" w:hAnsi="黑体"/>
      <w:sz w:val="30"/>
      <w:szCs w:val="30"/>
    </w:rPr>
  </w:style>
  <w:style w:type="table" w:styleId="a5">
    <w:name w:val="Table Grid"/>
    <w:basedOn w:val="a1"/>
    <w:uiPriority w:val="39"/>
    <w:rsid w:val="00647A34"/>
    <w:rPr>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Words>
  <Characters>694</Characters>
  <Application>Microsoft Office Word</Application>
  <DocSecurity>0</DocSecurity>
  <Lines>5</Lines>
  <Paragraphs>1</Paragraphs>
  <ScaleCrop>false</ScaleCrop>
  <Company>Hewlett-Packard Company</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sse</cp:lastModifiedBy>
  <cp:revision>2</cp:revision>
  <dcterms:created xsi:type="dcterms:W3CDTF">2019-10-31T05:02:00Z</dcterms:created>
  <dcterms:modified xsi:type="dcterms:W3CDTF">2019-10-31T05:02:00Z</dcterms:modified>
</cp:coreProperties>
</file>