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关于投资者参与北交所股票交易佣金收费的通知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尊敬的投资者：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交所将于11月15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默认按照成交金额的1.5</w:t>
      </w:r>
      <w:r>
        <w:rPr>
          <w:rFonts w:hint="default" w:ascii="Arial" w:hAnsi="Arial" w:cs="Arial"/>
          <w:lang w:val="en-US" w:eastAsia="zh-CN"/>
        </w:rPr>
        <w:t>‰</w:t>
      </w:r>
      <w:r>
        <w:rPr>
          <w:rFonts w:hint="eastAsia"/>
          <w:lang w:val="en-US" w:eastAsia="zh-CN"/>
        </w:rPr>
        <w:t>收取。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若您想具体了解您当前的北交所佣金设置水平或进行调整，请您致电所属营业部或客户经理进行咨询。</w:t>
      </w:r>
    </w:p>
    <w:p>
      <w:pPr>
        <w:keepNext w:val="0"/>
        <w:keepLines w:val="0"/>
        <w:widowControl/>
        <w:suppressLineNumbers w:val="0"/>
        <w:ind w:firstLine="42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2021年11月11日</w:t>
      </w:r>
    </w:p>
    <w:p>
      <w:pPr>
        <w:ind w:firstLine="42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53CF"/>
    <w:rsid w:val="75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2021-11-11T00:30:00Z</dcterms:created>
  <dc:creator>013297</dc:creator>
  <cp:lastModifiedBy>陈斌10186/htsec</cp:lastModifiedBy>
  <dcterms:modified xsi:type="dcterms:W3CDTF">2021-11-11T01:38:50Z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