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关于投资者参与北交所股票交易佣金收费的通知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尊敬的投资者：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交所将于11月15日开市，根据中国证券登记结算有限责任公司公布的《北京市场证券登记结算业务收费及代收税费一览表》，北交所股票交易费用与新三板挂牌公司股票交易费用一致。若您已在我公司开通新三板权限，并已就新三板交易佣金与我公司进行约定，则北交所股票交易佣金将与新三板交易佣金一致；若您在我公司仅开通了北交所权限，则北交所交易佣金将默认按照成交金额的1.5</w:t>
      </w:r>
      <w:r>
        <w:rPr>
          <w:rFonts w:hint="default" w:ascii="Arial" w:hAnsi="Arial" w:cs="Arial"/>
          <w:lang w:val="en-US" w:eastAsia="zh-CN"/>
        </w:rPr>
        <w:t>‰</w:t>
      </w:r>
      <w:r>
        <w:rPr>
          <w:rFonts w:hint="eastAsia"/>
          <w:lang w:val="en-US" w:eastAsia="zh-CN"/>
        </w:rPr>
        <w:t>收取。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若您想具体了解您当前的北交所佣金设置水平或进行调整，请您致电所属营业部或客户经理进行咨询。</w:t>
      </w:r>
    </w:p>
    <w:p>
      <w:pPr>
        <w:keepNext w:val="0"/>
        <w:keepLines w:val="0"/>
        <w:widowControl/>
        <w:suppressLineNumbers w:val="0"/>
        <w:ind w:firstLine="420" w:firstLineChars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2021年11月11日</w:t>
      </w:r>
    </w:p>
    <w:p>
      <w:pPr>
        <w:ind w:firstLine="42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B53CF"/>
    <w:rsid w:val="5603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2021-11-11T00:30:00Z</dcterms:created>
  <dc:creator>013297</dc:creator>
  <cp:lastModifiedBy>海通证券-张萍</cp:lastModifiedBy>
  <dcterms:modified xsi:type="dcterms:W3CDTF">2021-11-11T07:08:18Z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CFA66ADF756F4778A205321774FE889F</vt:lpwstr>
  </property>
</Properties>
</file>