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关于投资者参与北交所股票交易佣金收费的通知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尊敬的投资者：</w:t>
      </w:r>
    </w:p>
    <w:p>
      <w:pPr>
        <w:keepNext w:val="0"/>
        <w:keepLines w:val="0"/>
        <w:widowControl/>
        <w:suppressLineNumbers w:val="0"/>
        <w:ind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北交所将于11月15日开市，根据中国证券登记结算有限责任公司公布的《北京市场证券登记结算业务收费及代收税费一览表》，北交所股票交易费用与新三板挂牌公司股票交易费用一致。若您已在我公司开通新三板权限，并已就新三板交易佣金与我公司进行约定，则北交所股票交易佣金将与新三板交易佣金一致；若您在我公司仅开通了北交所权限，则北交所交易佣金将默认按照成交金额的1</w:t>
      </w:r>
      <w:bookmarkStart w:id="0" w:name="_GoBack"/>
      <w:bookmarkEnd w:id="0"/>
      <w:r>
        <w:rPr>
          <w:rFonts w:hint="default" w:ascii="Arial" w:hAnsi="Arial" w:cs="Arial"/>
          <w:lang w:val="en-US" w:eastAsia="zh-CN"/>
        </w:rPr>
        <w:t>‰</w:t>
      </w:r>
      <w:r>
        <w:rPr>
          <w:rFonts w:hint="eastAsia"/>
          <w:lang w:val="en-US" w:eastAsia="zh-CN"/>
        </w:rPr>
        <w:t>收取。</w:t>
      </w:r>
    </w:p>
    <w:p>
      <w:pPr>
        <w:keepNext w:val="0"/>
        <w:keepLines w:val="0"/>
        <w:widowControl/>
        <w:suppressLineNumbers w:val="0"/>
        <w:ind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若您想具体了解您当前的北交所佣金设置水平或进行调整，请您致电所属营业部或客户经理进行咨询。</w:t>
      </w:r>
    </w:p>
    <w:p>
      <w:pPr>
        <w:keepNext w:val="0"/>
        <w:keepLines w:val="0"/>
        <w:widowControl/>
        <w:suppressLineNumbers w:val="0"/>
        <w:ind w:firstLine="420" w:firstLineChars="0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2021年11月12日</w:t>
      </w:r>
    </w:p>
    <w:p>
      <w:pPr>
        <w:ind w:firstLine="420" w:firstLineChars="0"/>
        <w:rPr>
          <w:rFonts w:hint="default"/>
          <w:lang w:val="en-US" w:eastAsia="zh-CN"/>
        </w:rPr>
      </w:pPr>
    </w:p>
    <w:p>
      <w:pPr>
        <w:ind w:firstLine="420" w:firstLineChars="0"/>
        <w:rPr>
          <w:rFonts w:hint="default"/>
          <w:lang w:val="en-US" w:eastAsia="zh-CN"/>
        </w:rPr>
      </w:pPr>
    </w:p>
    <w:p>
      <w:pPr>
        <w:ind w:firstLine="420" w:firstLineChars="0"/>
        <w:rPr>
          <w:rFonts w:hint="default"/>
          <w:lang w:val="en-US" w:eastAsia="zh-CN"/>
        </w:rPr>
      </w:pPr>
    </w:p>
    <w:p>
      <w:pPr>
        <w:ind w:firstLine="420" w:firstLineChars="0"/>
        <w:rPr>
          <w:rFonts w:hint="default"/>
          <w:lang w:val="en-US" w:eastAsia="zh-CN"/>
        </w:rPr>
      </w:pPr>
    </w:p>
    <w:p>
      <w:pPr>
        <w:ind w:firstLine="42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3069EE"/>
    <w:rsid w:val="4DEB53CF"/>
    <w:rsid w:val="5E88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2021-11-11T00:30:00Z</dcterms:created>
  <dc:creator>013297</dc:creator>
  <cp:lastModifiedBy>商轩宁</cp:lastModifiedBy>
  <dcterms:modified xsi:type="dcterms:W3CDTF">2021-11-12T08:17:17Z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F0BBB87397684B1CB468336262A9D170</vt:lpwstr>
  </property>
</Properties>
</file>