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关于投资者参与北交所股票交易佣金收费的通知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尊敬的投资者：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交所将于11月15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按照不超过成交金额的1.5‰收取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若您想具体了解您当前的北交所佣金设置水平或进行调整，请您致电所属营业部或客户经理进行咨询。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海通证券聊城东昌路营业部</w:t>
      </w:r>
    </w:p>
    <w:p>
      <w:pPr>
        <w:keepNext w:val="0"/>
        <w:keepLines w:val="0"/>
        <w:widowControl/>
        <w:suppressLineNumbers w:val="0"/>
        <w:ind w:firstLine="42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2021年11月11日</w:t>
      </w: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5614"/>
    <w:rsid w:val="2A0D753E"/>
    <w:rsid w:val="2A432B1A"/>
    <w:rsid w:val="3FCE4FAF"/>
    <w:rsid w:val="4DEB53CF"/>
    <w:rsid w:val="4F1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2021-11-11T00:30:00Z</dcterms:created>
  <dc:creator>013297</dc:creator>
  <cp:lastModifiedBy>YGH</cp:lastModifiedBy>
  <dcterms:modified xsi:type="dcterms:W3CDTF">2022-05-18T01:31:33Z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