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vertAlign w:val="baseline"/>
        </w:rPr>
      </w:pPr>
      <w:bookmarkStart w:id="0" w:name="_GoBack"/>
      <w:bookmarkEnd w:id="0"/>
      <w:r>
        <w:rPr>
          <w:rFonts w:hint="eastAsia"/>
          <w:b/>
          <w:bCs/>
          <w:sz w:val="28"/>
          <w:szCs w:val="28"/>
        </w:rPr>
        <w:t>4.文化建设制度机制清单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84"/>
        <w:gridCol w:w="416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等线" w:hAnsi="等线" w:eastAsia="等线" w:cs="等线"/>
                <w:b/>
                <w:bCs/>
                <w:sz w:val="24"/>
                <w:szCs w:val="24"/>
                <w:vertAlign w:val="baseline"/>
                <w:lang w:val="en-US" w:eastAsia="zh-CN"/>
              </w:rPr>
            </w:pPr>
            <w:r>
              <w:rPr>
                <w:rFonts w:hint="eastAsia" w:ascii="等线" w:hAnsi="等线" w:eastAsia="等线" w:cs="等线"/>
                <w:b/>
                <w:bCs/>
                <w:sz w:val="24"/>
                <w:szCs w:val="24"/>
                <w:vertAlign w:val="baseline"/>
                <w:lang w:val="en-US" w:eastAsia="zh-CN"/>
              </w:rPr>
              <w:t>序号</w:t>
            </w:r>
          </w:p>
        </w:tc>
        <w:tc>
          <w:tcPr>
            <w:tcW w:w="2584" w:type="dxa"/>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等线" w:hAnsi="等线" w:eastAsia="等线" w:cs="等线"/>
                <w:b/>
                <w:bCs/>
                <w:sz w:val="24"/>
                <w:szCs w:val="24"/>
                <w:vertAlign w:val="baseline"/>
              </w:rPr>
            </w:pPr>
            <w:r>
              <w:rPr>
                <w:rFonts w:hint="eastAsia" w:ascii="等线" w:hAnsi="等线" w:eastAsia="等线" w:cs="等线"/>
                <w:b/>
                <w:bCs/>
                <w:sz w:val="24"/>
                <w:szCs w:val="24"/>
                <w:vertAlign w:val="baseline"/>
              </w:rPr>
              <w:t>制度/机制名称</w:t>
            </w:r>
          </w:p>
        </w:tc>
        <w:tc>
          <w:tcPr>
            <w:tcW w:w="4166" w:type="dxa"/>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等线" w:hAnsi="等线" w:eastAsia="等线" w:cs="等线"/>
                <w:b/>
                <w:bCs/>
                <w:sz w:val="24"/>
                <w:szCs w:val="24"/>
                <w:vertAlign w:val="baseline"/>
              </w:rPr>
            </w:pPr>
            <w:r>
              <w:rPr>
                <w:rFonts w:hint="eastAsia" w:ascii="等线" w:hAnsi="等线" w:eastAsia="等线" w:cs="等线"/>
                <w:b/>
                <w:bCs/>
                <w:sz w:val="24"/>
                <w:szCs w:val="24"/>
                <w:vertAlign w:val="baseline"/>
              </w:rPr>
              <w:t>文件概要</w:t>
            </w:r>
          </w:p>
        </w:tc>
        <w:tc>
          <w:tcPr>
            <w:tcW w:w="1044" w:type="dxa"/>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等线" w:hAnsi="等线" w:eastAsia="等线" w:cs="等线"/>
                <w:b/>
                <w:bCs/>
                <w:sz w:val="24"/>
                <w:szCs w:val="24"/>
                <w:vertAlign w:val="baseline"/>
              </w:rPr>
            </w:pPr>
            <w:r>
              <w:rPr>
                <w:rFonts w:hint="eastAsia" w:ascii="等线" w:hAnsi="等线" w:eastAsia="等线" w:cs="等线"/>
                <w:b/>
                <w:bCs/>
                <w:sz w:val="24"/>
                <w:szCs w:val="24"/>
                <w:vertAlign w:val="baseline"/>
              </w:rPr>
              <w:t>实施/修订日期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《海通证券文化建设配套制度和改进计划》</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提出文化建设三步走</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2019.12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《公司文化与品牌建设职能2021~2025“十四五”规划》（含2021~2023三年行动计划）</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提出进一步激发品牌提振业绩、业绩铸就品牌的良性循环效应，突出企业文化个性的同时融入行业共同文化</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《海通证券股份有限公司章程》</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明确“公司在经营管理中融合践行‘合规、诚信、专业、稳健’的行业文化，以正确的价值观、风险观、发展观引领发展，提升服务，助力建设规范、透明、开放、有活力、有韧性的资本市场</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《海通证券“十四五”规划》</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明确文化建设为“十四五”规划八大任务之一，提出向大众持续传播海通一流的综合金融服务能力和品牌特色，</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《海通证券股份有限公司关于经营管理活动中防止各级管理人员利益冲突的实施办法》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规范公司各级管理人员从业行为，防止经营管理活动中发生利益冲突，促进各级管理人员正确履行职权，保障公司改革发展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《落实全面从严治党相关法规制度汇编 》</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增强一体推进“不敢腐、不能腐、不想腐”的政治自觉、思想自觉和行动自觉，落实“合规、诚信、专业、稳健”的行业文化理念，践行“务实、开拓、稳健、卓越”的企业文化，收集整理了与日常工作密切相关、指导性较强、贴近实际的落实全面从严治党法律法规、规范性文件及公司相关规章制度</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《公司党委前置研究讨论重大事项实施办法》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严格落实习近平总书记关于“把党组织研究讨论作为董事会、经理层决策重大问题.的前置程序”的重要指示要求，充分发挥公司党委领导作用公司党委前置研究讨论重大事项是落实“两个一以贯之”要求、把党的领导与公司治理统一起来的重要制度安排。</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《海通证券股份有限公司党委前置研究事项清单》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进一步落实国有企业党委研究讨论“前置程序”要求，形成细化清单，明晰各治理主体权责范围。</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《关于深化落实全面从严治党加强党风廉政建设“四责协同”机制的实施办法》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党委主体责任是根本，纪委监督责任是保障，党委书记第一责任人责任是关键，班子成员“一岗双责”是支撑，“四个责任”主体要齐心协力、协同联动，，不断提高公司党风廉政建设的质量和水平。</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《海通证券股份有限公司落实意识形态工作责任制的责任清单（第2版）》</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全面贯彻落实《市国资委系统落实意识形态工作责任制的责任清单》（第3版）有关规定的基础上，结合实际，制定落实意识形态工作责任制的责任清单</w:t>
            </w:r>
          </w:p>
        </w:tc>
        <w:tc>
          <w:tcPr>
            <w:tcW w:w="1044" w:type="dxa"/>
          </w:tcPr>
          <w:p>
            <w:pPr>
              <w:keepNext w:val="0"/>
              <w:keepLines w:val="0"/>
              <w:pageBreakBefore w:val="0"/>
              <w:kinsoku/>
              <w:wordWrap/>
              <w:overflowPunct/>
              <w:topLinePunct w:val="0"/>
              <w:autoSpaceDE/>
              <w:autoSpaceDN/>
              <w:bidi w:val="0"/>
              <w:adjustRightInd/>
              <w:snapToGrid/>
              <w:jc w:val="both"/>
              <w:rPr>
                <w:rFonts w:hint="default" w:ascii="等线" w:hAnsi="等线" w:eastAsia="等线" w:cs="等线"/>
                <w:b/>
                <w:bCs/>
                <w:sz w:val="28"/>
                <w:szCs w:val="28"/>
                <w:vertAlign w:val="baseline"/>
                <w:lang w:val="en-US" w:eastAsia="zh-CN"/>
              </w:rPr>
            </w:pPr>
            <w:r>
              <w:rPr>
                <w:rFonts w:hint="eastAsia" w:ascii="等线" w:hAnsi="等线" w:eastAsia="等线" w:cs="等线"/>
                <w:i w:val="0"/>
                <w:color w:val="000000"/>
                <w:kern w:val="0"/>
                <w:sz w:val="22"/>
                <w:szCs w:val="22"/>
                <w:u w:val="none"/>
                <w:lang w:val="en-US" w:eastAsia="zh-CN" w:bidi="ar"/>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《海通证券股份有限公司全面风险管理办法（试行）》（2018年修订）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确定公司系统全面风险管理纲领性文件</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《海通证券股份有限公司市场风险管理办法（试行）》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制定市场风险管理相关办法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《海通证券股份有限公司操作风险管理办法（试行）》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制定操作风险理相关办法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《海通证券股份有限公司（集团）市场风险管理办法》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制定（集团）市场风险管理相关办法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《海通证券股份有限公司（集团）操作风险管理办法》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制定（集团）操作风险管理相关办法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《海通证券股份有限公司同一业务风险管理办法（试行）》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制定同一业务风险管理相关办法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《海通证券股份有限公司内部控制制度》</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制定内部控制相关办法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《海通证券股份有限公司（集团）信用风险管理办法》（2020年修订）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制定信用风险管理相关办法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《海通证券股份有限公司同一客户风险管理办法（试行）》（2020年修订）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制定同一客户风险管理相关办法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《海通证券股份有限公司风险管理考核评价办法》（2021年修订）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制定风险管理考核评相关办法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21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《海通证券股份有限公司ESG风险管理办法（试行）》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制ESG风险管理相关办法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22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《海通证券股份有限公司廉洁从业管理办法》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公司建立健全廉洁从业内部控制制度，制定具体、有效的事前防范体系、事中管控措施和事后追责机制，对所从事的业务种类、环节及相关工作进行科学、系统的廉洁风险评估，识别廉洁从业风险点，强化岗位制衡与内部监督机制并确保运作有效。通过教育、管理、监督、问责工作，不断提高工作人员遵守法律法规和纪律制度的自觉性，防止发生重大案件和违法违纪问题，守住廉洁从业的底线，树立公司良好社会形象。</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2"/>
                <w:sz w:val="22"/>
                <w:szCs w:val="22"/>
                <w:u w:val="none"/>
                <w:lang w:val="en-US" w:eastAsia="zh-CN" w:bidi="ar-SA"/>
              </w:rPr>
            </w:pPr>
            <w:r>
              <w:rPr>
                <w:rFonts w:hint="eastAsia" w:ascii="等线" w:hAnsi="等线" w:eastAsia="等线" w:cs="等线"/>
                <w:i w:val="0"/>
                <w:color w:val="000000"/>
                <w:kern w:val="0"/>
                <w:sz w:val="22"/>
                <w:szCs w:val="22"/>
                <w:u w:val="none"/>
                <w:lang w:val="en-US" w:eastAsia="zh-CN" w:bidi="ar"/>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23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海通证券股份有限公司关于贯彻落实“法治建设第一责任人”有关规定的实施办法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贯彻落实习近平法治思想和党中央关于全面依法治国的重大决策部署，不断提高公司主要负责人的法治意识，进一步推动公司法治建设，保障公司深化改革、健康发展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2021 .12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24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海通证券股份有限公司信息隔离墙管理办法（2021年修订）</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规范公司敏感信息管理，实现公司场所、人员、业务、信息的有效隔离，预防利益冲突和内幕交易的发生，</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25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关于进一步规范公司业务协同管理的通知</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进一步优化、规范协同业务模式，确保各部门及子公司（以下简称“公司各单位”）在依法合规、信息隔离、风险可控的前提下开展业务协同</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26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海通证券股份有限公司客户投诉管理办法（2021年修订）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制定客户投诉管理相关办法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27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《海通证券2021-2023创新发展三年行动规划》</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制定创新发展3年行动计划</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28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《关于成立公司推进创新使命责任工作领导小组的通知》</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成立公司推进创新使命责任工作领导小组</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29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《海通证券金融科技创新实验室研究课题管理办法（暂行）》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制定金融科技创新实验室研究相关办法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《海通证券股份有限公司新媒体管理办法》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制定新媒体管理相关办法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《海通证券股份有限公司声誉风险管理办法》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制定声誉风险管理相关办法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《海通证券股份有限公司证券从业人员执业资格管理办法》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规定公司全体从业人员均必须参加并通过协会举办的证券从业资格考试，取得证券执业资格证书；明确公司人员诚信信息管理机制，公司全体从业人员应严格对照《证券业从业人员执业行为准则》的要求规范自身执业行为。</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《海通证券股份有限公司薪酬管理总则（试行）》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该总则规定建立以市场为导向，并适应公司发展的薪酬管理体系，明确了公司遵循的薪酬管理原则、薪酬管理的组织及薪酬总额管理等内容。</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《海通证券股份有限公司总部薪酬管理办法（试行）》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规定公司总部薪酬管理遵循市场对标、绩效导向、动态调整、效率优化和薪酬保密等原则，明确了总部薪酬管理的组织与权责、薪酬定位与薪酬组成、固定薪酬的确定与调整、绩效薪酬的确定与分配等内容。</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《海通证券股份有限公司投资银行条线部门薪酬管理办法（试行）》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以进一步完善投资银行条线部门薪酬激励机制为出发点，结合投行业务特点，明确了投行条线部门薪酬构成、固定薪酬管理、效益工资分配、班子成员全薪上限、薪酬发放与管理等内容。按照投行业务内部控制要求，投行部门效益工资分三年递延发放。</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《海通证券股份有限公司绩效管理办法》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旨在构建公司科学的绩效管理体系，公司绩效管理遵循一致统一、客观公正、量化有限、公开透明、权责对等原则，考核指标涵盖廉洁从业、合规执业等要素，公正、客观地评价管理干部及员工的业绩达成情况和能力素质水平，并以此为基础促进管理干部及员工的个人职业发展。</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《海通证券股份有限公司干部管理办法（2021年修订）》</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旨在加强公司干部管理的科学化、制度化、规范化，建立科学的选人用人机制，建设一支忠诚、干净、担当的高素质专业化干部队伍，实现公司高质量发展。内容涵盖干部任职条件、选拔任用、履职、交流管理、考核与约束、培养锻炼等，任职条件中明确规定干部人选需具有较高的政治素质、坚持依法合规经营，并具有良好的职业操守和个人品行。</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《海通证券股份有限公司干部选拔任用实施细则（2021年修订）》</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细则是公司《干部管理办法》的细化规定，细则将德才兼备、勤勉敬业、业绩优良、遵纪合规作为选拔干部的基本要求。明确要求干部人选须遵守党纪、国家法律法规及公司各项制度规定，具有良好的执业操守，无违纪违规行为。</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39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《海通证券股份有限公司人力资源管理办法》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是公司人力资源管理的框架性制度，公司人力资源管理工作的核心和意义是体现“以人为本”的管理理念。公司贯彻执行“公开、公平、公正”的用人原则，利用用人自主权，引进需要的人才，建立人才进出的灵活竞争机制，打造一支结构合理、分工明确、运行有效、积极奋进的人才队伍。</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海通证券《员工手册》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手册是公司对人员管理的基本准则，阐述了公司的企业文化、基本政策和员工基本行为规范，突出合规管理和诚信执业的重要性，用于指导和规范公司全体员工的行为和职业道德，充分调动发挥公司员工的积极性和创造性，切实维护公司利益和保障员工的合法权益。</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《海通证券股份有限公司劳动合同管理规定》</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规定以国家《劳动法》和《劳动合同法》为基本遵循，是公司劳动关系管理的重要依据。对劳动合同的订立、履行、终止和解除等情形均作出规定。明确公司招聘录用员工时应当诚实信用，不得欺骗隐瞒，遵守“反歧视、反歁诈、反强迫”的基本劳动用工原则；应当避免在招聘录用条件中附加歧视性条件。</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《海通证券股份有限公司总部特殊人才引进管理办法(试行）》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旨在加大人才引进力度，引进具有市场稀缺性、紧缺性且内部可替代难度较大的人才，合理配置和使用人才，充分发挥各类管理人才和专业技术人才在公司发展中的特殊作用。特殊人才引进遵循一致统一、绩效导向、适度突破原则，可通过特殊的途径和方法在市场上寻找所需的合适人才，签订业绩达标约定书，加强评定与使用管理。</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《海通证券股份有限公司工作人员违反规章制度行为的处罚细则》</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细则旨在保障公司各项业务规范运营，贯彻落实公司各类规章制度，惩戒和警示各种违反规章制度的行为，防范金融风险，促进和提高制度执行力，依据国家有关法律法规、行政规章和公司有关规章制度。细则明确了违规处罚种类及运用规则、处罚程序等，是公司实施司规处罚的制度依据。</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《海通证券股份有限公司培训工作管理办法（试行）》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旨在提升员工队伍的业务能力和管理能力，促进员工培训工作规范化、制度化，建立和完善公司培训体系。培训工作以公司战略为导向，与员工职业生涯发展相结合，把员工自我发展纳入到公司发展的轨道，实现员工与公司共同成长，使公司形成良好的学习氛围，为公司形成学习型组织打下良好的基础。</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《海通证券股份有限公司培训课程体系管理办法（试行）》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旨在满足公司人才队伍发展需求，构建员工能力提升的路径图和整体发展框架，建设系统化、标准化、专业化人才开发路径。培训课程体系分为管理类课程、专业类课程和通用类课程三大类。其中通用类课程适用于全体员工，体现了公司的企业文化与价值观、职业道德与素养等要素，是公司对员工的知识、态度、技能等方面的基础性要求，主要包括职业道德、职业态度和职业行为三方面的内容。新员工入职培训课程包括公司发展历史、战略目标、企业文化、各部门职能介绍和职业行为等必修内容，以帮助新员工了解公司、融入公司，并养成良好的职业素养。</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《海通证券股份有限公司退休人员管理实施细则》</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细则旨在进一步规范退休人员管理，更好地保障广大退休人员的基本生活待遇。退休人员管理坚持“以人为本”的宗旨，公司积极为退休人员营造老有所养、老有所乐、老有所为的良好环境。退休人员享受健康体检，疗休养补贴，患重大疾病住院、手术等专项慰问，春节、重阳节慰问，老年大学学费报销等待遇。</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《海通证券股份有限公司总部MD职位体系管理办法（试行）》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遵循制度化、专业化、市场化的基本原则，公司总部MD职位体系旨在突破单一的行政职级体系，充分体现各种专业人才的价值，建立以业绩和能力为导向的能上能下的职位管理机制，为员工提供多渠道的职业发展路径。通过设定《MD职位序列任职资格要求》，引导员工加强学习，不断提升自身能力。</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《海通证券股份有限公司分支机构职位管理办法（试行）》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该办法旨在适应经纪业务发展要求，建立以业绩为导向、能上能下的分支机构职位等级体系。职位体系设置、员工职等评定等内容，职等评定与员工个人绩效考核结果、能力评价挂钩。</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49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《海通证券股份有限公司合规管理人员管理办法》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合规管理人员管理</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50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《海通证券股份有限公司合规考核实施办法》</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合规考核</w:t>
            </w:r>
          </w:p>
        </w:tc>
        <w:tc>
          <w:tcPr>
            <w:tcW w:w="1044"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51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《海通证券股份有限公司员工行为合规监测管理办法》</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进一步规范员工执业行为，促进公司加强内部合规管理，增强员工的自我约束能力，实现持续规范发展</w:t>
            </w:r>
          </w:p>
        </w:tc>
        <w:tc>
          <w:tcPr>
            <w:tcW w:w="1044"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52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《海通证券股份有限公司合规管理办法》</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强化合规管理，有效防范合规风险</w:t>
            </w:r>
          </w:p>
        </w:tc>
        <w:tc>
          <w:tcPr>
            <w:tcW w:w="1044"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8"/>
                <w:szCs w:val="28"/>
                <w:u w:val="none"/>
                <w:lang w:val="en-US" w:eastAsia="zh-CN" w:bidi="ar"/>
              </w:rPr>
              <w:t>53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2"/>
                <w:sz w:val="22"/>
                <w:szCs w:val="22"/>
                <w:u w:val="none"/>
                <w:lang w:val="en-US" w:eastAsia="zh-CN" w:bidi="ar-SA"/>
              </w:rPr>
            </w:pPr>
            <w:r>
              <w:rPr>
                <w:rFonts w:hint="eastAsia" w:ascii="等线" w:hAnsi="等线" w:eastAsia="等线" w:cs="等线"/>
                <w:i w:val="0"/>
                <w:color w:val="000000"/>
                <w:kern w:val="0"/>
                <w:sz w:val="22"/>
                <w:szCs w:val="22"/>
                <w:u w:val="none"/>
                <w:lang w:val="en-US" w:eastAsia="zh-CN" w:bidi="ar"/>
              </w:rPr>
              <w:t>《海通证券股份有限公司合规手册（二〇二〇年版）》</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进一步提高全体员工合规意识和合规执业水平，推动公司合规文化建设</w:t>
            </w:r>
          </w:p>
        </w:tc>
        <w:tc>
          <w:tcPr>
            <w:tcW w:w="1044"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54</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《上海海通证券资产管理有限公司员工手册》</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员工福利、行为要求等</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55</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《上海海通证券资产管理有限公司薪酬管理办法（试行）》</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关于薪酬管理</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56</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《上海海通证券资产管理有限公司绩效管理制度》</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关于绩效考核</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57</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《上海海通证券资产管理有限公司投资绩效评估办法》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关于绩效评估</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58</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《上海海通证券资产管理有限公司招聘管理办法》</w:t>
            </w:r>
          </w:p>
        </w:tc>
        <w:tc>
          <w:tcPr>
            <w:tcW w:w="4166" w:type="dxa"/>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关于人员招聘</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59</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《上海海通证券资产管理有限公司干部管理细则》</w:t>
            </w:r>
          </w:p>
        </w:tc>
        <w:tc>
          <w:tcPr>
            <w:tcW w:w="4166" w:type="dxa"/>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关于干部管理等事宜</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60</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2"/>
                <w:sz w:val="22"/>
                <w:szCs w:val="22"/>
                <w:u w:val="none"/>
                <w:lang w:val="en-US" w:eastAsia="zh-CN" w:bidi="ar-SA"/>
              </w:rPr>
            </w:pPr>
            <w:r>
              <w:rPr>
                <w:rFonts w:hint="eastAsia" w:ascii="等线" w:hAnsi="等线" w:eastAsia="等线" w:cs="等线"/>
                <w:i w:val="0"/>
                <w:color w:val="000000"/>
                <w:kern w:val="0"/>
                <w:sz w:val="22"/>
                <w:szCs w:val="22"/>
                <w:u w:val="none"/>
                <w:lang w:val="en-US" w:eastAsia="zh-CN" w:bidi="ar"/>
              </w:rPr>
              <w:t>《上海海通证券资产管理有限公司新员工带教办法》</w:t>
            </w:r>
          </w:p>
        </w:tc>
        <w:tc>
          <w:tcPr>
            <w:tcW w:w="4166" w:type="dxa"/>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关于新员工融入企业，融入文化</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2"/>
                <w:sz w:val="22"/>
                <w:szCs w:val="22"/>
                <w:u w:val="none"/>
                <w:lang w:val="en-US" w:eastAsia="zh-CN" w:bidi="ar-SA"/>
              </w:rPr>
            </w:pPr>
            <w:r>
              <w:rPr>
                <w:rFonts w:hint="eastAsia" w:ascii="等线" w:hAnsi="等线" w:eastAsia="等线" w:cs="等线"/>
                <w:i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61</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《上海海通证券资产管理有限公司规章制度管理办法》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合规管理</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62</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《上海海通证券资产管理有限公司合规管理办法》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合规管理</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63</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《上海海通证券资产管理有限公司合规管理人员管理办法》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合规管理</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64</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《上海海通证券资产管理有限公司合规审查办法》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合规管理</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65</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《上海海通证券资产管理有限公司合规问责管理办法》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合规管理</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66</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《上海海通证券资产管理有限公司合规考核实施办法》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执业行为管理</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67</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《上海海通证券资产管理有限公司员工通讯工具使用管理办法》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执业行为管理</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68</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《上海海通证券资产管理有限公司网络和即时信息工具使用管理办法》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69</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《上海海通证券资产管理有限公司全面风险管理办法》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70</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《上海海通证券资产管理有限公司内部控制大纲》</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71</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《上海海通证券资产管理有限公司公平交易管理办法》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72</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《上海海通证券资产管理有限公司异常交易管理制度》</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73</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《上海海通证券资产管理有限公司操作风险管理办法》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74</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《上海海通证券资产管理有限公司流动性风险管理办法》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75</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《上海海通证券资产管理有限公司操作风险管理办法》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76</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《上海海通证券资产管理有限公司信用风险管理办法》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77</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《上海海通证券资产管理有限公司逆回购质押券风险管理办法》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78</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《上海海通证券资产管理有限公司股票质押式回购交易业务风险管理办法》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79</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《上海海通证券资产管理有限公司资产证券化业务存续期信用风险管理办法》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80</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《上海海通证券资产管理有限公司公募大集合资产管理业务风险控制制度》</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风险控制</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81</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《上海海通证券资产管理有限公司风险管理考核评价办法》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监察稽核</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82</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《上海海通证券资产管理有限公司监察稽核管理办法》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防范业务风险</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83</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《上海海通证券资产管理有限公司尽职调查办法》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防范业务风险</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84</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《上海海通证券资产管理有限公司资产证券化业务尽职调查工作实施细则》</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防范业务风险</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85</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《上海海通证券资产管理有限公司股票质押式回购交易业务尽职调查与贷后管理工作指引》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信息隔离、防范利益冲突</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86</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《上海海通证券资产管理有限公司防控内幕交易管理办法》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信息隔离、防范利益冲突</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87</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《上海海通证券资产管理有限公司关联交易管理及利益冲突防范制度》</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信息隔离、防范利益冲突</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88</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《上海海通证券资产管理有限公司股票质押式回购交易业务信息隔离及利益冲突防范管理办法》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防范执业风险</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89</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《上海海通证券资产管理有限公司资产证券化业务质量控制制度》</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廉洁从业</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90</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《上海海通证券资产管理有限公司廉洁从业管理办法》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廉洁从业</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91</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《上海海通证券资产管理有限公司资产证券化业务聘请第三方机构实施细则》</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廉洁从业</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92</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《上海海通证券资产管理有限公司聘用第三方机构为产品提供投资建议相关服务的准入及管理办法》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廉洁从业</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93</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《上海海通证券资产管理有限公司信息技术采购细则》</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对外宣传</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94</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《上海海通证券资产管理有限公司媒体沟通办法》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对外宣传</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95</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《上海海通证券资产管理有限公司媒体宣传行为规范》</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对外宣传</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96</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《上海海通证券资产管理有限公司直播管理办法》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信息安全</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97</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《上海海通证券资产管理有限公司信息技术计算机安全管理办法》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信息安全</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98</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《上海海通证券资产管理有限公司信息系统数据安全管理办法》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信息安全</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等线" w:hAnsi="等线" w:eastAsia="等线" w:cs="等线"/>
                <w:i w:val="0"/>
                <w:color w:val="000000"/>
                <w:kern w:val="0"/>
                <w:sz w:val="28"/>
                <w:szCs w:val="28"/>
                <w:u w:val="none"/>
                <w:lang w:val="en-US" w:eastAsia="zh-CN" w:bidi="ar"/>
              </w:rPr>
              <w:t>99</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《上海海通证券资产管理有限公司客户服务管理办法》</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客户服务</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2021.12</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F2"/>
    <w:rsid w:val="000A12D7"/>
    <w:rsid w:val="000C371F"/>
    <w:rsid w:val="00172A27"/>
    <w:rsid w:val="00190799"/>
    <w:rsid w:val="001D43AB"/>
    <w:rsid w:val="0021155A"/>
    <w:rsid w:val="00270E29"/>
    <w:rsid w:val="002F02F2"/>
    <w:rsid w:val="002F1268"/>
    <w:rsid w:val="0031260A"/>
    <w:rsid w:val="00391115"/>
    <w:rsid w:val="0039494A"/>
    <w:rsid w:val="00417259"/>
    <w:rsid w:val="004D2873"/>
    <w:rsid w:val="004F23F5"/>
    <w:rsid w:val="004F24AF"/>
    <w:rsid w:val="0056295B"/>
    <w:rsid w:val="00563A2C"/>
    <w:rsid w:val="006A09F5"/>
    <w:rsid w:val="00700A9E"/>
    <w:rsid w:val="00767E5D"/>
    <w:rsid w:val="00787F45"/>
    <w:rsid w:val="007F437E"/>
    <w:rsid w:val="009115FF"/>
    <w:rsid w:val="00975BF2"/>
    <w:rsid w:val="0098701F"/>
    <w:rsid w:val="00BB1F35"/>
    <w:rsid w:val="00BC4201"/>
    <w:rsid w:val="00BD57A9"/>
    <w:rsid w:val="00C345B8"/>
    <w:rsid w:val="00C55976"/>
    <w:rsid w:val="00C9793C"/>
    <w:rsid w:val="00CC1D43"/>
    <w:rsid w:val="00D346FC"/>
    <w:rsid w:val="00D4060D"/>
    <w:rsid w:val="00DA5800"/>
    <w:rsid w:val="00DB11CB"/>
    <w:rsid w:val="00E16DE2"/>
    <w:rsid w:val="00E8698F"/>
    <w:rsid w:val="00EC79CF"/>
    <w:rsid w:val="00F1318A"/>
    <w:rsid w:val="02830695"/>
    <w:rsid w:val="06F746B0"/>
    <w:rsid w:val="0CDA607B"/>
    <w:rsid w:val="0DED6F2B"/>
    <w:rsid w:val="108B45F2"/>
    <w:rsid w:val="15221B03"/>
    <w:rsid w:val="1CE5614C"/>
    <w:rsid w:val="1E7015DA"/>
    <w:rsid w:val="247561C9"/>
    <w:rsid w:val="26CF3D97"/>
    <w:rsid w:val="277B682C"/>
    <w:rsid w:val="287527E4"/>
    <w:rsid w:val="29351F7F"/>
    <w:rsid w:val="2AE40898"/>
    <w:rsid w:val="2C376D53"/>
    <w:rsid w:val="2C60249F"/>
    <w:rsid w:val="2D021A32"/>
    <w:rsid w:val="2FF53F04"/>
    <w:rsid w:val="30E71D98"/>
    <w:rsid w:val="345016D0"/>
    <w:rsid w:val="35606509"/>
    <w:rsid w:val="3A5A52F1"/>
    <w:rsid w:val="3A8C78A0"/>
    <w:rsid w:val="3AE71E5B"/>
    <w:rsid w:val="3CA07906"/>
    <w:rsid w:val="3E89541B"/>
    <w:rsid w:val="406A081F"/>
    <w:rsid w:val="47CA5328"/>
    <w:rsid w:val="48BD6D45"/>
    <w:rsid w:val="49E42896"/>
    <w:rsid w:val="4AC84C56"/>
    <w:rsid w:val="4B512F63"/>
    <w:rsid w:val="52F21AFE"/>
    <w:rsid w:val="56691739"/>
    <w:rsid w:val="5DDB68EB"/>
    <w:rsid w:val="5E3872BF"/>
    <w:rsid w:val="5E6F1C36"/>
    <w:rsid w:val="66BC67FA"/>
    <w:rsid w:val="6CAD5632"/>
    <w:rsid w:val="6F447B89"/>
    <w:rsid w:val="737F72DA"/>
    <w:rsid w:val="749D2962"/>
    <w:rsid w:val="75B53709"/>
    <w:rsid w:val="76A40592"/>
    <w:rsid w:val="77166BE1"/>
    <w:rsid w:val="777A4FC7"/>
    <w:rsid w:val="788C6ED5"/>
    <w:rsid w:val="795922B0"/>
    <w:rsid w:val="7C9C5270"/>
    <w:rsid w:val="7EB07CC8"/>
    <w:rsid w:val="7F355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line="360" w:lineRule="auto"/>
      <w:ind w:right="210" w:firstLine="360"/>
      <w:outlineLvl w:val="2"/>
    </w:pPr>
    <w:rPr>
      <w:rFonts w:ascii="宋体" w:hAnsi="宋体" w:eastAsia="仿宋_GB2312"/>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caption"/>
    <w:basedOn w:val="1"/>
    <w:next w:val="1"/>
    <w:semiHidden/>
    <w:unhideWhenUsed/>
    <w:qFormat/>
    <w:uiPriority w:val="35"/>
    <w:rPr>
      <w:rFonts w:ascii="Arial" w:hAnsi="Arial" w:eastAsia="黑体"/>
      <w:sz w:val="20"/>
    </w:rPr>
  </w:style>
  <w:style w:type="paragraph" w:styleId="4">
    <w:name w:val="Balloon Text"/>
    <w:basedOn w:val="1"/>
    <w:link w:val="17"/>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Hyperlink"/>
    <w:basedOn w:val="10"/>
    <w:semiHidden/>
    <w:unhideWhenUsed/>
    <w:qFormat/>
    <w:uiPriority w:val="99"/>
    <w:rPr>
      <w:color w:val="0000FF"/>
      <w:u w:val="single"/>
    </w:rPr>
  </w:style>
  <w:style w:type="paragraph" w:customStyle="1" w:styleId="13">
    <w:name w:val="大标题"/>
    <w:basedOn w:val="1"/>
    <w:qFormat/>
    <w:uiPriority w:val="0"/>
    <w:pPr>
      <w:tabs>
        <w:tab w:val="left" w:pos="454"/>
      </w:tabs>
      <w:jc w:val="center"/>
    </w:pPr>
    <w:rPr>
      <w:rFonts w:ascii="华文仿宋" w:hAnsi="华文仿宋" w:eastAsia="华文仿宋"/>
      <w:b/>
      <w:sz w:val="36"/>
      <w:szCs w:val="28"/>
    </w:rPr>
  </w:style>
  <w:style w:type="character" w:customStyle="1" w:styleId="1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widowControl/>
      <w:ind w:firstLine="420" w:firstLineChars="200"/>
      <w:jc w:val="left"/>
    </w:pPr>
    <w:rPr>
      <w:rFonts w:ascii="宋体" w:hAnsi="宋体" w:cs="宋体"/>
      <w:kern w:val="0"/>
      <w:sz w:val="24"/>
    </w:rPr>
  </w:style>
  <w:style w:type="character" w:customStyle="1" w:styleId="16">
    <w:name w:val="页眉 Char"/>
    <w:basedOn w:val="10"/>
    <w:link w:val="6"/>
    <w:semiHidden/>
    <w:qFormat/>
    <w:uiPriority w:val="99"/>
    <w:rPr>
      <w:rFonts w:asciiTheme="minorHAnsi" w:hAnsiTheme="minorHAnsi" w:eastAsiaTheme="minorEastAsia" w:cstheme="minorBidi"/>
      <w:kern w:val="2"/>
      <w:sz w:val="18"/>
      <w:szCs w:val="18"/>
    </w:rPr>
  </w:style>
  <w:style w:type="character" w:customStyle="1" w:styleId="17">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8">
    <w:name w:val="font11"/>
    <w:basedOn w:val="10"/>
    <w:qFormat/>
    <w:uiPriority w:val="0"/>
    <w:rPr>
      <w:rFonts w:hint="eastAsia" w:ascii="等线" w:hAnsi="等线" w:eastAsia="等线" w:cs="等线"/>
      <w:color w:val="000000"/>
      <w:sz w:val="22"/>
      <w:szCs w:val="22"/>
      <w:u w:val="none"/>
    </w:rPr>
  </w:style>
  <w:style w:type="character" w:customStyle="1" w:styleId="19">
    <w:name w:val="font01"/>
    <w:basedOn w:val="10"/>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2737</Words>
  <Characters>15607</Characters>
  <Lines>130</Lines>
  <Paragraphs>36</Paragraphs>
  <TotalTime>0</TotalTime>
  <ScaleCrop>false</ScaleCrop>
  <LinksUpToDate>false</LinksUpToDate>
  <CharactersWithSpaces>18308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2022-05-09T08:25:00Z</dcterms:created>
  <dc:creator>Estella Jin</dc:creator>
  <cp:lastModifiedBy>Administrator</cp:lastModifiedBy>
  <dcterms:modified xsi:type="dcterms:W3CDTF">2022-05-19T04:35:43Z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