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left"/>
        <w:rPr>
          <w:rFonts w:hint="eastAsia"/>
          <w:b/>
          <w:bCs/>
          <w:sz w:val="32"/>
          <w:szCs w:val="32"/>
        </w:rPr>
      </w:pPr>
      <w:bookmarkStart w:id="0" w:name="_GoBack"/>
      <w:r>
        <w:rPr>
          <w:rFonts w:hint="eastAsia"/>
          <w:b/>
          <w:bCs/>
          <w:sz w:val="32"/>
          <w:szCs w:val="32"/>
        </w:rPr>
        <w:t>海通证券钦州</w:t>
      </w:r>
      <w:r>
        <w:rPr>
          <w:rFonts w:hint="eastAsia"/>
          <w:b/>
          <w:bCs/>
          <w:sz w:val="32"/>
          <w:szCs w:val="32"/>
          <w:lang w:val="en-US" w:eastAsia="zh-CN"/>
        </w:rPr>
        <w:t>子材东大街</w:t>
      </w:r>
      <w:r>
        <w:rPr>
          <w:rFonts w:hint="eastAsia"/>
          <w:b/>
          <w:bCs/>
          <w:sz w:val="32"/>
          <w:szCs w:val="32"/>
        </w:rPr>
        <w:t>营业部普通账户佣金公示</w:t>
      </w:r>
    </w:p>
    <w:bookmarkEnd w:id="0"/>
    <w:p>
      <w:pPr>
        <w:jc w:val="left"/>
        <w:rPr>
          <w:rFonts w:hint="eastAsia"/>
          <w:sz w:val="26"/>
          <w:szCs w:val="26"/>
          <w:lang w:val="en-US" w:eastAsia="zh-CN"/>
        </w:rPr>
      </w:pPr>
      <w:r>
        <w:rPr>
          <w:rFonts w:hint="eastAsia"/>
          <w:sz w:val="26"/>
          <w:szCs w:val="26"/>
          <w:lang w:val="en-US" w:eastAsia="zh-CN"/>
        </w:rPr>
        <w:t>尊敬的客户：</w:t>
      </w:r>
    </w:p>
    <w:p>
      <w:pPr>
        <w:jc w:val="left"/>
        <w:rPr>
          <w:rFonts w:hint="eastAsia"/>
          <w:sz w:val="26"/>
          <w:szCs w:val="26"/>
          <w:lang w:val="en-US" w:eastAsia="zh-CN"/>
        </w:rPr>
      </w:pPr>
      <w:r>
        <w:rPr>
          <w:rFonts w:hint="eastAsia"/>
          <w:sz w:val="26"/>
          <w:szCs w:val="26"/>
          <w:lang w:val="en-US" w:eastAsia="zh-CN"/>
        </w:rPr>
        <w:t xml:space="preserve">   根据证券监管机构关于客户服务和佣金管理有关规定，现将我部交易佣金、服务费用收取标准和收取方式告知如下：</w:t>
      </w:r>
    </w:p>
    <w:p>
      <w:pPr>
        <w:rPr>
          <w:rFonts w:hint="eastAsia"/>
        </w:rPr>
      </w:pP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30" w:type="dxa"/>
          </w:tcPr>
          <w:p>
            <w:pPr>
              <w:rPr>
                <w:rFonts w:hint="eastAsia"/>
                <w:sz w:val="26"/>
                <w:szCs w:val="26"/>
                <w:vertAlign w:val="baseline"/>
              </w:rPr>
            </w:pPr>
            <w:r>
              <w:rPr>
                <w:rFonts w:hint="eastAsia"/>
                <w:sz w:val="26"/>
                <w:szCs w:val="26"/>
              </w:rPr>
              <w:t>一级分类</w:t>
            </w:r>
          </w:p>
        </w:tc>
        <w:tc>
          <w:tcPr>
            <w:tcW w:w="2130" w:type="dxa"/>
          </w:tcPr>
          <w:p>
            <w:pPr>
              <w:rPr>
                <w:rFonts w:hint="eastAsia"/>
                <w:sz w:val="26"/>
                <w:szCs w:val="26"/>
                <w:vertAlign w:val="baseline"/>
              </w:rPr>
            </w:pPr>
            <w:r>
              <w:rPr>
                <w:rFonts w:hint="eastAsia"/>
                <w:sz w:val="26"/>
                <w:szCs w:val="26"/>
              </w:rPr>
              <w:t>二级分类</w:t>
            </w:r>
          </w:p>
        </w:tc>
        <w:tc>
          <w:tcPr>
            <w:tcW w:w="2131" w:type="dxa"/>
          </w:tcPr>
          <w:p>
            <w:pPr>
              <w:rPr>
                <w:rFonts w:hint="eastAsia"/>
                <w:sz w:val="26"/>
                <w:szCs w:val="26"/>
                <w:vertAlign w:val="baseline"/>
              </w:rPr>
            </w:pPr>
            <w:r>
              <w:rPr>
                <w:rFonts w:hint="eastAsia"/>
                <w:sz w:val="26"/>
                <w:szCs w:val="26"/>
              </w:rPr>
              <w:t>参数</w:t>
            </w:r>
          </w:p>
        </w:tc>
        <w:tc>
          <w:tcPr>
            <w:tcW w:w="2131" w:type="dxa"/>
          </w:tcPr>
          <w:p>
            <w:pPr>
              <w:rPr>
                <w:rFonts w:hint="eastAsia"/>
                <w:sz w:val="26"/>
                <w:szCs w:val="26"/>
                <w:vertAlign w:val="baseline"/>
              </w:rPr>
            </w:pPr>
            <w:r>
              <w:rPr>
                <w:rFonts w:hint="eastAsia"/>
                <w:sz w:val="26"/>
                <w:szCs w:val="26"/>
              </w:rPr>
              <w:t>佣金系数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522" w:type="dxa"/>
            <w:gridSpan w:val="4"/>
          </w:tcPr>
          <w:p>
            <w:pPr>
              <w:jc w:val="left"/>
              <w:rPr>
                <w:rFonts w:hint="eastAsia"/>
                <w:sz w:val="26"/>
                <w:szCs w:val="26"/>
                <w:vertAlign w:val="baseline"/>
              </w:rPr>
            </w:pPr>
            <w:r>
              <w:rPr>
                <w:rFonts w:hint="eastAsia"/>
                <w:sz w:val="26"/>
                <w:szCs w:val="26"/>
                <w:lang w:val="en-US" w:eastAsia="zh-CN"/>
              </w:rPr>
              <w:t>最低</w:t>
            </w:r>
            <w:r>
              <w:rPr>
                <w:rFonts w:hint="eastAsia"/>
                <w:sz w:val="26"/>
                <w:szCs w:val="26"/>
                <w:lang w:eastAsia="zh-CN"/>
              </w:rPr>
              <w:t>佣金水平</w:t>
            </w:r>
            <w:r>
              <w:rPr>
                <w:rFonts w:hint="eastAsia"/>
                <w:sz w:val="26"/>
                <w:szCs w:val="26"/>
                <w:lang w:val="en-US" w:eastAsia="zh-CN"/>
              </w:rPr>
              <w:t xml:space="preserve">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客户级别调整（资产或交易量测算的资产当量）</w:t>
            </w:r>
          </w:p>
        </w:tc>
        <w:tc>
          <w:tcPr>
            <w:tcW w:w="2130" w:type="dxa"/>
          </w:tcPr>
          <w:p>
            <w:pPr>
              <w:rPr>
                <w:rFonts w:hint="eastAsia" w:eastAsiaTheme="minorEastAsia"/>
                <w:sz w:val="26"/>
                <w:szCs w:val="26"/>
                <w:vertAlign w:val="baseline"/>
                <w:lang w:eastAsia="zh-CN"/>
              </w:rPr>
            </w:pPr>
            <w:r>
              <w:rPr>
                <w:rFonts w:hint="eastAsia"/>
                <w:sz w:val="26"/>
                <w:szCs w:val="26"/>
              </w:rPr>
              <w:t>客户级别</w:t>
            </w:r>
            <w:r>
              <w:rPr>
                <w:rFonts w:hint="eastAsia"/>
                <w:sz w:val="26"/>
                <w:szCs w:val="26"/>
                <w:lang w:val="en-US" w:eastAsia="zh-CN"/>
              </w:rPr>
              <w:t>A</w:t>
            </w:r>
          </w:p>
        </w:tc>
        <w:tc>
          <w:tcPr>
            <w:tcW w:w="2131" w:type="dxa"/>
          </w:tcPr>
          <w:p>
            <w:pPr>
              <w:rPr>
                <w:rFonts w:hint="eastAsia"/>
                <w:sz w:val="26"/>
                <w:szCs w:val="26"/>
                <w:vertAlign w:val="baseline"/>
              </w:rPr>
            </w:pPr>
            <w:r>
              <w:rPr>
                <w:rFonts w:hint="eastAsia"/>
                <w:sz w:val="26"/>
                <w:szCs w:val="26"/>
              </w:rPr>
              <w:t>A1000万以上</w:t>
            </w:r>
          </w:p>
        </w:tc>
        <w:tc>
          <w:tcPr>
            <w:tcW w:w="2131" w:type="dxa"/>
            <w:vAlign w:val="top"/>
          </w:tcPr>
          <w:p>
            <w:pPr>
              <w:rPr>
                <w:rFonts w:hint="eastAsia"/>
                <w:sz w:val="26"/>
                <w:szCs w:val="26"/>
                <w:vertAlign w:val="baseline"/>
              </w:rPr>
            </w:pPr>
            <w:r>
              <w:rPr>
                <w:rFonts w:hint="eastAsia"/>
                <w:sz w:val="26"/>
                <w:szCs w:val="26"/>
              </w:rPr>
              <w:t>0.15‰~0.18‰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500万-1000万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300万-500万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22</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D</w:t>
            </w:r>
          </w:p>
        </w:tc>
        <w:tc>
          <w:tcPr>
            <w:tcW w:w="2131" w:type="dxa"/>
          </w:tcPr>
          <w:p>
            <w:pPr>
              <w:rPr>
                <w:rFonts w:hint="default"/>
                <w:sz w:val="26"/>
                <w:szCs w:val="26"/>
                <w:vertAlign w:val="baseline"/>
                <w:lang w:val="en-US" w:eastAsia="zh-CN"/>
              </w:rPr>
            </w:pPr>
            <w:r>
              <w:rPr>
                <w:rFonts w:hint="eastAsia"/>
                <w:sz w:val="26"/>
                <w:szCs w:val="26"/>
                <w:vertAlign w:val="baseline"/>
                <w:lang w:val="en-US" w:eastAsia="zh-CN"/>
              </w:rPr>
              <w:t>100万-300万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E</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50万-100万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eastAsia" w:eastAsiaTheme="minorEastAsia"/>
                <w:sz w:val="26"/>
                <w:szCs w:val="26"/>
                <w:vertAlign w:val="baseline"/>
                <w:lang w:val="en-US" w:eastAsia="zh-CN"/>
              </w:rPr>
            </w:pPr>
            <w:r>
              <w:rPr>
                <w:rFonts w:hint="eastAsia"/>
                <w:sz w:val="26"/>
                <w:szCs w:val="26"/>
              </w:rPr>
              <w:t>客户级别</w:t>
            </w:r>
            <w:r>
              <w:rPr>
                <w:rFonts w:hint="eastAsia"/>
                <w:sz w:val="26"/>
                <w:szCs w:val="26"/>
                <w:lang w:val="en-US" w:eastAsia="zh-CN"/>
              </w:rPr>
              <w:t>F</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0-50万</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30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eastAsiaTheme="minorEastAsia"/>
                <w:sz w:val="26"/>
                <w:szCs w:val="26"/>
                <w:vertAlign w:val="baseline"/>
                <w:lang w:eastAsia="zh-CN"/>
              </w:rPr>
            </w:pPr>
            <w:r>
              <w:rPr>
                <w:rFonts w:hint="eastAsia"/>
                <w:sz w:val="26"/>
                <w:szCs w:val="26"/>
                <w:vertAlign w:val="baseline"/>
                <w:lang w:eastAsia="zh-CN"/>
              </w:rPr>
              <w:t>客户忠诚度调整（根据开户时间）</w:t>
            </w:r>
          </w:p>
        </w:tc>
        <w:tc>
          <w:tcPr>
            <w:tcW w:w="2130" w:type="dxa"/>
          </w:tcPr>
          <w:p>
            <w:pPr>
              <w:rPr>
                <w:rFonts w:hint="default" w:eastAsiaTheme="minorEastAsia"/>
                <w:sz w:val="26"/>
                <w:szCs w:val="26"/>
                <w:vertAlign w:val="baseline"/>
                <w:lang w:val="en-US" w:eastAsia="zh-CN"/>
              </w:rPr>
            </w:pPr>
            <w:r>
              <w:rPr>
                <w:rFonts w:hint="eastAsia"/>
                <w:sz w:val="26"/>
                <w:szCs w:val="26"/>
                <w:vertAlign w:val="baseline"/>
                <w:lang w:eastAsia="zh-CN"/>
              </w:rPr>
              <w:t>忠诚度</w:t>
            </w:r>
            <w:r>
              <w:rPr>
                <w:rFonts w:hint="eastAsia"/>
                <w:sz w:val="26"/>
                <w:szCs w:val="26"/>
                <w:vertAlign w:val="baseline"/>
                <w:lang w:val="en-US" w:eastAsia="zh-CN"/>
              </w:rPr>
              <w:t>A</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10年以上</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w:t>
            </w:r>
            <w:r>
              <w:rPr>
                <w:rFonts w:hint="eastAsia"/>
                <w:sz w:val="26"/>
                <w:szCs w:val="26"/>
                <w:lang w:val="en-US" w:eastAsia="zh-CN"/>
              </w:rPr>
              <w:t>0.20</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B</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5-10年</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25</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C</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3-5年</w:t>
            </w:r>
          </w:p>
        </w:tc>
        <w:tc>
          <w:tcPr>
            <w:tcW w:w="2131" w:type="dxa"/>
            <w:vAlign w:val="top"/>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28</w:t>
            </w:r>
            <w:r>
              <w:rPr>
                <w:rFonts w:hint="eastAsia"/>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sz w:val="26"/>
                <w:szCs w:val="26"/>
                <w:vertAlign w:val="baseline"/>
              </w:rPr>
            </w:pPr>
          </w:p>
        </w:tc>
        <w:tc>
          <w:tcPr>
            <w:tcW w:w="2130" w:type="dxa"/>
          </w:tcPr>
          <w:p>
            <w:pPr>
              <w:rPr>
                <w:rFonts w:hint="default"/>
                <w:sz w:val="26"/>
                <w:szCs w:val="26"/>
                <w:vertAlign w:val="baseline"/>
                <w:lang w:val="en-US"/>
              </w:rPr>
            </w:pPr>
            <w:r>
              <w:rPr>
                <w:rFonts w:hint="eastAsia"/>
                <w:sz w:val="26"/>
                <w:szCs w:val="26"/>
                <w:vertAlign w:val="baseline"/>
                <w:lang w:eastAsia="zh-CN"/>
              </w:rPr>
              <w:t>忠诚度</w:t>
            </w:r>
            <w:r>
              <w:rPr>
                <w:rFonts w:hint="eastAsia"/>
                <w:sz w:val="26"/>
                <w:szCs w:val="26"/>
                <w:vertAlign w:val="baseline"/>
                <w:lang w:val="en-US" w:eastAsia="zh-CN"/>
              </w:rPr>
              <w:t>D</w:t>
            </w:r>
          </w:p>
        </w:tc>
        <w:tc>
          <w:tcPr>
            <w:tcW w:w="2131" w:type="dxa"/>
          </w:tcPr>
          <w:p>
            <w:pPr>
              <w:rPr>
                <w:rFonts w:hint="default" w:eastAsiaTheme="minorEastAsia"/>
                <w:sz w:val="26"/>
                <w:szCs w:val="26"/>
                <w:vertAlign w:val="baseline"/>
                <w:lang w:val="en-US" w:eastAsia="zh-CN"/>
              </w:rPr>
            </w:pPr>
            <w:r>
              <w:rPr>
                <w:rFonts w:hint="eastAsia"/>
                <w:sz w:val="26"/>
                <w:szCs w:val="26"/>
                <w:vertAlign w:val="baseline"/>
                <w:lang w:val="en-US" w:eastAsia="zh-CN"/>
              </w:rPr>
              <w:t>0-3年</w:t>
            </w:r>
          </w:p>
        </w:tc>
        <w:tc>
          <w:tcPr>
            <w:tcW w:w="2131" w:type="dxa"/>
          </w:tcPr>
          <w:p>
            <w:pPr>
              <w:rPr>
                <w:rFonts w:hint="eastAsia" w:eastAsiaTheme="minorEastAsia"/>
                <w:sz w:val="26"/>
                <w:szCs w:val="26"/>
                <w:vertAlign w:val="baseline"/>
                <w:lang w:eastAsia="zh-CN"/>
              </w:rPr>
            </w:pPr>
            <w:r>
              <w:rPr>
                <w:rFonts w:hint="eastAsia"/>
                <w:sz w:val="26"/>
                <w:szCs w:val="26"/>
              </w:rPr>
              <w:t>0.15</w:t>
            </w:r>
            <w:r>
              <w:rPr>
                <w:rFonts w:hint="eastAsia"/>
                <w:sz w:val="26"/>
                <w:szCs w:val="26"/>
                <w:lang w:eastAsia="zh-CN"/>
              </w:rPr>
              <w:t>‰</w:t>
            </w:r>
            <w:r>
              <w:rPr>
                <w:rFonts w:hint="eastAsia"/>
                <w:sz w:val="26"/>
                <w:szCs w:val="26"/>
              </w:rPr>
              <w:t>~0.</w:t>
            </w:r>
            <w:r>
              <w:rPr>
                <w:rFonts w:hint="eastAsia"/>
                <w:sz w:val="26"/>
                <w:szCs w:val="26"/>
                <w:lang w:val="en-US" w:eastAsia="zh-CN"/>
              </w:rPr>
              <w:t>30</w:t>
            </w:r>
            <w:r>
              <w:rPr>
                <w:rFonts w:hint="eastAsia"/>
                <w:sz w:val="26"/>
                <w:szCs w:val="26"/>
                <w:lang w:eastAsia="zh-CN"/>
              </w:rPr>
              <w:t>‰</w:t>
            </w:r>
          </w:p>
        </w:tc>
      </w:tr>
    </w:tbl>
    <w:p>
      <w:pPr>
        <w:rPr>
          <w:rFonts w:hint="eastAsia"/>
        </w:rPr>
      </w:pPr>
    </w:p>
    <w:p>
      <w:pPr>
        <w:rPr>
          <w:rFonts w:hint="eastAsia"/>
          <w:b/>
          <w:bCs/>
          <w:sz w:val="26"/>
          <w:szCs w:val="26"/>
        </w:rPr>
      </w:pPr>
      <w:r>
        <w:rPr>
          <w:rFonts w:hint="eastAsia"/>
          <w:b/>
          <w:bCs/>
          <w:sz w:val="26"/>
          <w:szCs w:val="26"/>
        </w:rPr>
        <w:t>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1)交易佣金率上限不能高于千分之三，下限不能低于万分之一点五</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交易佣金调整需双方在区间内协商而定</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2)营业部全体成本佣金率由营业部根据行业标准公示及实际运营数据计算，以向证券监管部门、证券业协会报备数值为准，并根据实际经营情况进行调整；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3)交易量采用股票基金交易量。资产当量是指用交易量/本营业部平均周转率或市场周转率计算得来的资产；</w:t>
      </w:r>
    </w:p>
    <w:p>
      <w:pP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4)辖区证券业协会出台自律性佣金标准，按辖区自律佣金标准执行</w:t>
      </w:r>
      <w:r>
        <w:rPr>
          <w:rFonts w:hint="eastAsia" w:asciiTheme="minorEastAsia" w:hAnsiTheme="minorEastAsia" w:cstheme="minorEastAsia"/>
          <w:sz w:val="24"/>
          <w:szCs w:val="24"/>
          <w:lang w:eastAsia="zh-CN"/>
        </w:rPr>
        <w:t>；</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若您在我部仅开通了可转债交易权限，未调整可转债交易佣金费率，则沪市可转债交易佣金费率将默认按照成</w:t>
      </w:r>
      <w:r>
        <w:rPr>
          <w:rFonts w:hint="eastAsia" w:asciiTheme="minorEastAsia" w:hAnsiTheme="minorEastAsia" w:eastAsiaTheme="minorEastAsia" w:cstheme="minorEastAsia"/>
          <w:sz w:val="24"/>
          <w:szCs w:val="24"/>
          <w:lang w:val="en-US" w:eastAsia="zh-CN"/>
        </w:rPr>
        <w:t>交金额的0.2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收取，深市可转债交易佣金费率将默认按照成交金额的1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收取。</w:t>
      </w:r>
      <w:r>
        <w:rPr>
          <w:rFonts w:hint="eastAsia" w:asciiTheme="minorEastAsia" w:hAnsiTheme="minorEastAsia" w:cstheme="minorEastAsia"/>
          <w:sz w:val="24"/>
          <w:szCs w:val="24"/>
          <w:lang w:val="en-US" w:eastAsia="zh-CN"/>
        </w:rPr>
        <w:t>若您想具体了解您当前的可转债佣金设置水平或进行调整，请您致电所属营业部或客户经理进行咨询。</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若您通过网上开户系统（包括但不限于e海通财、网上营业厅、H5开户等）开立普通资金账户，则该账户股票交易佣金将默认按照0.3‰收取。若您想具体了解您当前的普通账户佣金设置水平或进行调整，请您致电所属营业部或客户经理进行咨询。</w:t>
      </w:r>
    </w:p>
    <w:p>
      <w:pP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7）ETF、LOF等基金交易品种，不低于两地交易所及公司内部收费标准，双方协商约定。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1F73"/>
    <w:rsid w:val="13991F27"/>
    <w:rsid w:val="1BDB55D6"/>
    <w:rsid w:val="39313326"/>
    <w:rsid w:val="3A373543"/>
    <w:rsid w:val="40A83AB7"/>
    <w:rsid w:val="45884D51"/>
    <w:rsid w:val="45CA0EF0"/>
    <w:rsid w:val="4A083D00"/>
    <w:rsid w:val="4AA40C55"/>
    <w:rsid w:val="4AEF1F73"/>
    <w:rsid w:val="4EAB4983"/>
    <w:rsid w:val="526529ED"/>
    <w:rsid w:val="5BE83BA6"/>
    <w:rsid w:val="73532C09"/>
    <w:rsid w:val="7AB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2020-09-14T05:47:00Z</dcterms:created>
  <dc:creator>张立发/htsec</dc:creator>
  <cp:lastModifiedBy>Administrator</cp:lastModifiedBy>
  <dcterms:modified xsi:type="dcterms:W3CDTF">2023-02-21T06:56:35Z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D1E6A7811EB248D7BAE2611E010477B8</vt:lpwstr>
  </property>
</Properties>
</file>