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海通证券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大兴安岭漠河振兴路</w:t>
      </w:r>
      <w:r>
        <w:rPr>
          <w:rFonts w:hint="eastAsia" w:ascii="宋体" w:hAnsi="宋体"/>
          <w:b/>
          <w:sz w:val="32"/>
          <w:szCs w:val="32"/>
        </w:rPr>
        <w:t>证券营业部证券交易佣金收取标准公告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尊敬的投资者，根据中国证券业协会相关文件规定，证券交易佣金收取标准应在营业部经营全成本核算基础上，结合客户地域、资产规模、交易量、交易方式和忠诚度等因素，同时符合住所地协会相关自律性规则制定。结合以上规定及</w:t>
      </w:r>
      <w:r>
        <w:rPr>
          <w:rFonts w:hint="eastAsia" w:ascii="宋体" w:hAnsi="宋体"/>
          <w:sz w:val="28"/>
          <w:szCs w:val="28"/>
          <w:lang w:val="en-US" w:eastAsia="zh-CN"/>
        </w:rPr>
        <w:t>黑龙江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省证券业协会自律性规则，我部在成本核算和客户分类的基础上制定的佣金收取标准如下：</w:t>
      </w:r>
    </w:p>
    <w:p>
      <w:pPr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您的证券基础交易佣金率计算公式如下：</w:t>
      </w:r>
    </w:p>
    <w:p>
      <w:pPr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基础佣金率</w:t>
      </w:r>
      <w:r>
        <w:rPr>
          <w:rFonts w:hint="eastAsia" w:ascii="宋体" w:hAnsi="宋体"/>
          <w:sz w:val="28"/>
          <w:szCs w:val="28"/>
        </w:rPr>
        <w:t>=全成本佣金率*客户级别调整系数*交易方式调整系数*客户忠诚度系数+地域佣金调整</w:t>
      </w:r>
    </w:p>
    <w:p>
      <w:pPr>
        <w:ind w:firstLine="555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证券交易佣金率上限不能高于3.0</w:t>
      </w:r>
      <w:r>
        <w:rPr>
          <w:rFonts w:hint="default" w:ascii="Arial" w:hAnsi="Arial" w:cs="Arial"/>
          <w:sz w:val="28"/>
          <w:szCs w:val="28"/>
          <w:lang w:val="en-US" w:eastAsia="zh-CN"/>
        </w:rPr>
        <w:t>‰</w:t>
      </w:r>
      <w:r>
        <w:rPr>
          <w:rFonts w:hint="eastAsia" w:ascii="Arial" w:hAnsi="Arial" w:cs="Arial"/>
          <w:sz w:val="28"/>
          <w:szCs w:val="28"/>
          <w:lang w:val="en-US" w:eastAsia="zh-CN"/>
        </w:rPr>
        <w:t>，下限不能低于营业部经营全成本佣金率。</w:t>
      </w:r>
    </w:p>
    <w:p>
      <w:pPr>
        <w:ind w:firstLine="555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除证券代理交易佣金外，我部为客户提供有偿投资咨询服务，如需要，请前往柜台办理相关咨询及服务协议签订手续。</w:t>
      </w:r>
    </w:p>
    <w:p>
      <w:pPr>
        <w:ind w:firstLine="555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以上佣金收取标准每年调整一次，佣金计算及查询请前往营业部柜台、致电全国服务热线：95553，或登录公司网站查询。</w:t>
      </w:r>
    </w:p>
    <w:p>
      <w:pPr>
        <w:ind w:firstLine="555"/>
        <w:jc w:val="right"/>
        <w:rPr>
          <w:rFonts w:hint="eastAsia" w:ascii="宋体" w:hAnsi="宋体"/>
          <w:color w:val="000000"/>
          <w:sz w:val="28"/>
          <w:szCs w:val="28"/>
        </w:rPr>
      </w:pPr>
    </w:p>
    <w:p>
      <w:pPr>
        <w:ind w:firstLine="555"/>
        <w:jc w:val="right"/>
        <w:rPr>
          <w:rFonts w:hint="eastAsia" w:ascii="宋体" w:hAnsi="宋体"/>
          <w:color w:val="000000"/>
          <w:sz w:val="28"/>
          <w:szCs w:val="28"/>
        </w:rPr>
      </w:pPr>
    </w:p>
    <w:p>
      <w:pPr>
        <w:wordWrap w:val="0"/>
        <w:ind w:firstLine="555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海通证券有限公司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大兴安岭漠河振兴路</w:t>
      </w:r>
      <w:r>
        <w:rPr>
          <w:rFonts w:hint="eastAsia" w:ascii="宋体" w:hAnsi="宋体"/>
          <w:color w:val="000000"/>
          <w:sz w:val="28"/>
          <w:szCs w:val="28"/>
        </w:rPr>
        <w:t>证券营业部</w:t>
      </w:r>
    </w:p>
    <w:p>
      <w:pPr>
        <w:wordWrap w:val="0"/>
        <w:ind w:firstLine="555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2023.01.01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A7946"/>
    <w:rsid w:val="242C3051"/>
    <w:rsid w:val="2E2B00C1"/>
    <w:rsid w:val="41AD167B"/>
    <w:rsid w:val="52290BA4"/>
    <w:rsid w:val="5DBB2650"/>
    <w:rsid w:val="636A76A1"/>
    <w:rsid w:val="72C4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2021-06-04T01:36:00Z</dcterms:created>
  <dc:creator>HT703-SUNQL</dc:creator>
  <cp:lastModifiedBy>Ly</cp:lastModifiedBy>
  <dcterms:modified xsi:type="dcterms:W3CDTF">2023-02-22T06:08:27Z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