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</w:rPr>
        <w:t>海通证券</w:t>
      </w: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  <w:t>韶关百旺路证券</w:t>
      </w: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</w:rPr>
        <w:t>营业部证券交易佣金收取标准公告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尊敬的投资者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根据《关于调整证券交易佣金收取标准的通知》（证监发〔2002〕21号）、《关于进一步加强证券公司客户服务和证券交易佣金管理工作的通知》(中证协发【2010】157号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、证券交易所交易规则等文件的相关规定，我部现将证券交易佣金收取标准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公告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A股和证券投资基金（封闭式基金，ETF）的佣金（包括代收的证券交易监管费和证券交易所手续费等）不高于证券交易金额的3‰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每笔交易佣金不足5元的，按5元收取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港股通客户交易佣金比照该客户A股和基金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佣金标准执行，不包括香港交易所收取的规费。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沪市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债券（国债、企业债券、可转换公司债券等）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佣金不超过成交金额的0.02%，起点1元；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深市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债券（国债、企业债券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等）的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佣金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交易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不超过成交金额的0.02%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深市可转债不超过成交金额的0.1%。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投资顾问服务费用按照客户与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我司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签署的投资顾问服务协议约定收取。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除投资顾问服务协议约定外的其他服务价格，包括基础服务、资讯服务、咨询服务和增值服务等服务项目。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佣金计算及查询请前往营业部柜台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致电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营业部咨询电话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：075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8800999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或登录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我司官网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海通证券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股份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韶关百旺路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证券营业部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2C9F7"/>
    <w:multiLevelType w:val="singleLevel"/>
    <w:tmpl w:val="A1F2C9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2E67"/>
    <w:rsid w:val="16AA774E"/>
    <w:rsid w:val="17081325"/>
    <w:rsid w:val="1AAD099D"/>
    <w:rsid w:val="368D12C1"/>
    <w:rsid w:val="36DA0662"/>
    <w:rsid w:val="37672E67"/>
    <w:rsid w:val="3B93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2023-02-22T06:37:00Z</dcterms:created>
  <dc:creator>汤晓雯/htsec</dc:creator>
  <cp:lastModifiedBy>admin</cp:lastModifiedBy>
  <dcterms:modified xsi:type="dcterms:W3CDTF">2023-02-23T07:31:03Z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C4B783CD36194D95A3CD8911F31009CD</vt:lpwstr>
  </property>
</Properties>
</file>