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both"/>
        <w:rPr>
          <w:rFonts w:hint="eastAsia" w:ascii="等线" w:hAnsi="等线" w:eastAsia="等线" w:cs="等线"/>
          <w:b/>
          <w:bCs/>
          <w:sz w:val="28"/>
          <w:szCs w:val="28"/>
        </w:rPr>
      </w:pPr>
      <w:r>
        <w:rPr>
          <w:rFonts w:hint="eastAsia" w:ascii="等线" w:hAnsi="等线" w:eastAsia="等线" w:cs="等线"/>
          <w:b/>
          <w:bCs/>
          <w:sz w:val="28"/>
          <w:szCs w:val="28"/>
        </w:rPr>
        <w:t>5.文化建设宣传及培训情况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343"/>
        <w:gridCol w:w="3501"/>
        <w:gridCol w:w="1102"/>
        <w:gridCol w:w="105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序号</w:t>
            </w:r>
          </w:p>
        </w:tc>
        <w:tc>
          <w:tcPr>
            <w:tcW w:w="1343"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项目名称</w:t>
            </w:r>
          </w:p>
        </w:tc>
        <w:tc>
          <w:tcPr>
            <w:tcW w:w="3501"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主要内容（课程）</w:t>
            </w:r>
          </w:p>
        </w:tc>
        <w:tc>
          <w:tcPr>
            <w:tcW w:w="1102"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活动/培训日期</w:t>
            </w:r>
          </w:p>
        </w:tc>
        <w:tc>
          <w:tcPr>
            <w:tcW w:w="1052"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活动/培训时长</w:t>
            </w:r>
          </w:p>
        </w:tc>
        <w:tc>
          <w:tcPr>
            <w:tcW w:w="913"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参与活动/培训人员数量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11"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专题辅导报告</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国家安全教育专题报告会（上海市国家安全局人民防线支队副支队长讲课）</w:t>
            </w:r>
          </w:p>
        </w:tc>
        <w:tc>
          <w:tcPr>
            <w:tcW w:w="1102"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1月17日</w:t>
            </w:r>
          </w:p>
        </w:tc>
        <w:tc>
          <w:tcPr>
            <w:tcW w:w="10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专题辅导报告</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中国资本市场的发展、启示和展望（上海爱建集团党委书记、副董事长范永进）</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2月28日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专题学习研讨</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传达学习疫情防控有关会议精神（迈威生物总经理刘大涛博士，公司研究所所长助理、医药行业首席分析师余文心）</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3月31日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在线集体学习</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围绕今年4.15全民国家安全教育日宣传教育活动主题开展国家安全教育学习</w:t>
            </w:r>
          </w:p>
        </w:tc>
        <w:tc>
          <w:tcPr>
            <w:tcW w:w="1102"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4月15日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专题学习研讨</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传达学习中央财经委第十一次会议、中共中央政治局4月29日会议以及中共中央政治局第三十八次集体学习会议精神</w:t>
            </w:r>
          </w:p>
        </w:tc>
        <w:tc>
          <w:tcPr>
            <w:tcW w:w="1102"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5月5日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专题辅导报告</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围绕新冠疫情的发展、治疗药物的研发以及疫情背景下生物创新药企的发展开展专题交流</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5月25日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专题学习研讨</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代表归来话体会——传达学习上海市第十二次党代会精神</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6月30日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专题辅导报告</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“深入学习党章，推进新时代党的建设新的伟大工程”（市委党校党的建设教研部主任赵刚印教授）</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8月11日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专题辅导报告</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全面解读美国芯片法案（芯谋研究创始人及首席分析师顾文军）</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8月31日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专题辅导报告</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信息时代的媒体素养与危机管理（中国浦东干部学院领导与传播研究中心主任、教学实验与案例开发中心主任王石泉）</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9月27日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4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专题辅导报告</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学习贯彻信访工作条例 不断提高信访工作技能（上海市信访办接访处原调研员，上海市白玉兰开心家园家庭服务社特聘专家姚洪彬）</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10月12日</w:t>
            </w:r>
          </w:p>
        </w:tc>
        <w:tc>
          <w:tcPr>
            <w:tcW w:w="1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联组学习</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学习贯彻党的二十大精神（与中海信托党委中心组联组学习</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10月27日</w:t>
            </w:r>
          </w:p>
        </w:tc>
        <w:tc>
          <w:tcPr>
            <w:tcW w:w="105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专题辅导报告</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学习贯彻党的二十大精神（市委党校党的建设教研部主任赵刚印教授）</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11月4日</w:t>
            </w:r>
          </w:p>
        </w:tc>
        <w:tc>
          <w:tcPr>
            <w:tcW w:w="105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专题党课报告会</w:t>
            </w:r>
          </w:p>
        </w:tc>
        <w:tc>
          <w:tcPr>
            <w:tcW w:w="350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学习宣传贯彻党的二十大精神专题党课报告会（袁峰）</w:t>
            </w:r>
          </w:p>
        </w:tc>
        <w:tc>
          <w:tcPr>
            <w:tcW w:w="11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12月7日</w:t>
            </w:r>
          </w:p>
        </w:tc>
        <w:tc>
          <w:tcPr>
            <w:tcW w:w="105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43" w:type="dxa"/>
            <w:vAlign w:val="center"/>
          </w:tcPr>
          <w:p>
            <w:pPr>
              <w:keepNext w:val="0"/>
              <w:keepLines w:val="0"/>
              <w:widowControl/>
              <w:suppressLineNumbers w:val="0"/>
              <w:jc w:val="left"/>
              <w:textAlignment w:val="center"/>
              <w:rPr>
                <w:rFonts w:hint="eastAsia" w:ascii="等线" w:hAnsi="等线" w:eastAsia="等线" w:cs="等线"/>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2022年国家宪法日及宪法周宣传活动</w:t>
            </w:r>
          </w:p>
        </w:tc>
        <w:tc>
          <w:tcPr>
            <w:tcW w:w="3501"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结合国家宪法日及宪法宣传周，在员工间开展宪法宣传。</w:t>
            </w:r>
          </w:p>
        </w:tc>
        <w:tc>
          <w:tcPr>
            <w:tcW w:w="110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2022.12.4—12.10</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一周</w:t>
            </w:r>
          </w:p>
        </w:tc>
        <w:tc>
          <w:tcPr>
            <w:tcW w:w="913"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近4000人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43"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“合规内控文化建设年”之《宪法》知识测试</w:t>
            </w:r>
          </w:p>
        </w:tc>
        <w:tc>
          <w:tcPr>
            <w:tcW w:w="3501"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《宪法》内容知识测试</w:t>
            </w:r>
          </w:p>
        </w:tc>
        <w:tc>
          <w:tcPr>
            <w:tcW w:w="110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2022.12.1—12.10</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10天</w:t>
            </w:r>
          </w:p>
        </w:tc>
        <w:tc>
          <w:tcPr>
            <w:tcW w:w="913"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5700余人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43"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第六届上海市企业法务技能大赛</w:t>
            </w:r>
          </w:p>
        </w:tc>
        <w:tc>
          <w:tcPr>
            <w:tcW w:w="3501" w:type="dxa"/>
            <w:vAlign w:val="center"/>
          </w:tcPr>
          <w:p>
            <w:pPr>
              <w:keepNext w:val="0"/>
              <w:keepLines w:val="0"/>
              <w:widowControl/>
              <w:suppressLineNumbers w:val="0"/>
              <w:jc w:val="left"/>
              <w:textAlignment w:val="center"/>
              <w:rPr>
                <w:rFonts w:hint="eastAsia" w:ascii="等线" w:hAnsi="等线" w:eastAsia="等线" w:cs="等线"/>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参加企业法务技能大赛</w:t>
            </w:r>
          </w:p>
        </w:tc>
        <w:tc>
          <w:tcPr>
            <w:tcW w:w="110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2022.7—2022.12</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6个月</w:t>
            </w:r>
          </w:p>
        </w:tc>
        <w:tc>
          <w:tcPr>
            <w:tcW w:w="913" w:type="dxa"/>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2"/>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
              <w:t>场外期权业务风险管理培训</w:t>
            </w:r>
          </w:p>
        </w:tc>
        <w:tc>
          <w:tcPr>
            <w:tcW w:w="3501"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场外期权业务风险管理培训</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22分钟</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压力测试管理应用培训</w:t>
            </w:r>
          </w:p>
        </w:tc>
        <w:tc>
          <w:tcPr>
            <w:tcW w:w="3501"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压力测试管理应用培训</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32分钟</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股票质押式回购业务新规下的风险管理</w:t>
            </w:r>
          </w:p>
        </w:tc>
        <w:tc>
          <w:tcPr>
            <w:tcW w:w="3501" w:type="dxa"/>
            <w:vAlign w:val="center"/>
          </w:tcPr>
          <w:p>
            <w:pPr>
              <w:keepNext w:val="0"/>
              <w:keepLines w:val="0"/>
              <w:widowControl/>
              <w:suppressLineNumbers w:val="0"/>
              <w:jc w:val="both"/>
              <w:textAlignment w:val="center"/>
              <w:rPr>
                <w:rFonts w:hint="eastAsia" w:ascii="等线" w:hAnsi="等线" w:eastAsia="等线" w:cs="等线"/>
                <w:kern w:val="2"/>
                <w:sz w:val="21"/>
                <w:szCs w:val="22"/>
                <w:lang w:val="en-US" w:eastAsia="zh-CN" w:bidi="ar-SA"/>
              </w:rPr>
            </w:pPr>
            <w:r>
              <w:rPr>
                <w:rFonts w:hint="eastAsia" w:ascii="宋体" w:hAnsi="宋体" w:eastAsia="宋体" w:cs="宋体"/>
                <w:i w:val="0"/>
                <w:iCs w:val="0"/>
                <w:color w:val="000000"/>
                <w:kern w:val="0"/>
                <w:sz w:val="21"/>
                <w:szCs w:val="21"/>
                <w:u w:val="none"/>
                <w:lang w:val="en-US" w:eastAsia="zh-CN" w:bidi="ar"/>
              </w:rPr>
              <w:t>1、股质新规下股票质押式回购交易业务风险管理办法的修订内容；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2、内部评级在股票质押式回购业务中的应用；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3、股票质押式回购交易业务风控关注要点；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4、股票质押式回购交易业务风险缓释措施</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64分钟</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2"/>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
              <w:t>城投平台典型财务粉饰手段分析及评级应用指引</w:t>
            </w:r>
          </w:p>
        </w:tc>
        <w:tc>
          <w:tcPr>
            <w:tcW w:w="3501"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介绍在城投平台信用资质逐渐分化的大背景下，各类信用主体在市场中常用的财务粉饰手段及在内部评级中的应用方式</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2小时</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线上线下结合方式，无特定人数限制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煤炭企业风险评估及评级应用指引</w:t>
            </w:r>
          </w:p>
        </w:tc>
        <w:tc>
          <w:tcPr>
            <w:tcW w:w="3501"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介绍2021年下半年以来，煤炭行业的最新发展形势，结合当前市场环境分析煤炭行业的典型风险特征及在内部评级中的应用方式</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1小时</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线上线下结合方式，无特定人数限制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ESG风险管理案例库培训</w:t>
            </w:r>
          </w:p>
        </w:tc>
        <w:tc>
          <w:tcPr>
            <w:tcW w:w="3501" w:type="dxa"/>
            <w:vAlign w:val="center"/>
          </w:tcPr>
          <w:p>
            <w:pPr>
              <w:keepNext w:val="0"/>
              <w:keepLines w:val="0"/>
              <w:widowControl/>
              <w:suppressLineNumbers w:val="0"/>
              <w:jc w:val="both"/>
              <w:textAlignment w:val="center"/>
              <w:rPr>
                <w:rFonts w:hint="eastAsia" w:ascii="等线" w:hAnsi="等线" w:eastAsia="等线" w:cs="等线"/>
                <w:kern w:val="2"/>
                <w:sz w:val="21"/>
                <w:szCs w:val="22"/>
                <w:lang w:val="en-US" w:eastAsia="zh-CN" w:bidi="ar-SA"/>
              </w:rPr>
            </w:pPr>
            <w:r>
              <w:rPr>
                <w:rFonts w:hint="eastAsia" w:ascii="宋体" w:hAnsi="宋体" w:eastAsia="宋体" w:cs="宋体"/>
                <w:i w:val="0"/>
                <w:iCs w:val="0"/>
                <w:color w:val="000000"/>
                <w:kern w:val="0"/>
                <w:sz w:val="21"/>
                <w:szCs w:val="21"/>
                <w:u w:val="none"/>
                <w:lang w:val="en-US" w:eastAsia="zh-CN" w:bidi="ar"/>
              </w:rPr>
              <w:t>联合专业ESG风险管理咨询公司，针对面向海通集团征集的ESG风险管理案例库企业开展尽职调查并编制风险评分工作底稿，形成案例库供各单位学习和参考</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2小时</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线上线下结合方式，无特定人数限制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2"/>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
              <w:t>财务舞弊风险识别及管理专题培训</w:t>
            </w:r>
          </w:p>
        </w:tc>
        <w:tc>
          <w:tcPr>
            <w:tcW w:w="3501"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借助财务审计领域专家资源，系统性培训财务舞弊风险识别及管理的策略</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3.5天</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线上线下结合方式，无特定人数限制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企业违约预警及舆情分析专题培训</w:t>
            </w:r>
          </w:p>
        </w:tc>
        <w:tc>
          <w:tcPr>
            <w:tcW w:w="3501"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借助金融科技领域专家资源，系统性培训负面舆情风险的智能化监控及管理的策略</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1天</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线上线下结合方式，无特定人数限制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智能预警中心应用指引</w:t>
            </w:r>
          </w:p>
        </w:tc>
        <w:tc>
          <w:tcPr>
            <w:tcW w:w="3501" w:type="dxa"/>
            <w:vAlign w:val="center"/>
          </w:tcPr>
          <w:p>
            <w:pPr>
              <w:keepNext w:val="0"/>
              <w:keepLines w:val="0"/>
              <w:widowControl/>
              <w:suppressLineNumbers w:val="0"/>
              <w:jc w:val="both"/>
              <w:textAlignment w:val="center"/>
              <w:rPr>
                <w:rFonts w:hint="eastAsia" w:ascii="等线" w:hAnsi="等线" w:eastAsia="等线" w:cs="等线"/>
                <w:kern w:val="2"/>
                <w:sz w:val="21"/>
                <w:szCs w:val="22"/>
                <w:lang w:val="en-US" w:eastAsia="zh-CN" w:bidi="ar-SA"/>
              </w:rPr>
            </w:pPr>
            <w:r>
              <w:rPr>
                <w:rFonts w:hint="eastAsia" w:ascii="宋体" w:hAnsi="宋体" w:eastAsia="宋体" w:cs="宋体"/>
                <w:i w:val="0"/>
                <w:iCs w:val="0"/>
                <w:color w:val="000000"/>
                <w:kern w:val="0"/>
                <w:sz w:val="21"/>
                <w:szCs w:val="21"/>
                <w:u w:val="none"/>
                <w:lang w:val="en-US" w:eastAsia="zh-CN" w:bidi="ar"/>
              </w:rPr>
              <w:t>介绍包括风险预警信号、企业风险画像等智能预警中心一期核心建设成果，并宣导相关配套管理政策的实施安排</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2小时</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2"/>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
              <w:t>审计调整数据报送培训</w:t>
            </w:r>
          </w:p>
        </w:tc>
        <w:tc>
          <w:tcPr>
            <w:tcW w:w="3501"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向各报送单位讲解审计调整数据报送内容与要求，介绍报送工作实施要点，演示数据报送与确认操作步骤</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36分钟</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343"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分支机构风险管控要点及案例分析</w:t>
            </w:r>
          </w:p>
        </w:tc>
        <w:tc>
          <w:tcPr>
            <w:tcW w:w="3501"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对分支机构常见的风险问题进行分析并提出风险管理建议</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35分钟</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司庆月主题宣传活动</w:t>
            </w:r>
          </w:p>
        </w:tc>
        <w:tc>
          <w:tcPr>
            <w:tcW w:w="3501" w:type="dxa"/>
            <w:vAlign w:val="center"/>
          </w:tcPr>
          <w:p>
            <w:pPr>
              <w:keepNext w:val="0"/>
              <w:keepLines w:val="0"/>
              <w:widowControl/>
              <w:suppressLineNumbers w:val="0"/>
              <w:jc w:val="left"/>
              <w:textAlignment w:val="center"/>
              <w:rPr>
                <w:rFonts w:hint="eastAsia" w:ascii="等线" w:hAnsi="等线" w:eastAsia="等线" w:cs="等线"/>
                <w:kern w:val="2"/>
                <w:sz w:val="21"/>
                <w:szCs w:val="22"/>
                <w:lang w:val="en-US" w:eastAsia="zh-CN" w:bidi="ar-SA"/>
              </w:rPr>
            </w:pPr>
            <w:r>
              <w:rPr>
                <w:rFonts w:hint="eastAsia" w:ascii="等线" w:hAnsi="等线" w:eastAsia="等线" w:cs="等线"/>
                <w:i w:val="0"/>
                <w:iCs w:val="0"/>
                <w:color w:val="000000"/>
                <w:kern w:val="0"/>
                <w:sz w:val="22"/>
                <w:szCs w:val="22"/>
                <w:u w:val="none"/>
                <w:lang w:val="en-US" w:eastAsia="zh-CN" w:bidi="ar"/>
              </w:rPr>
              <w:t>为牢固树立行业文化理念，弘扬海通企业文化，展现海通人风采，总经理办公室精心策划司庆“六个一”系列宣传。                                                                                                                                           官微对司庆主题宣传贯彻一周，围绕“一个海通”理念，策划 “一个品牌”公司服务实体经济典型案例、“一个集团”子公司风采巡礼、“一个战略”综合金融服务提升经济韧性短片、“一个家园”员工“大美海通 我心向阳”摄影书画展，在司庆日前后于公司官微、视频号推送，不断营造司庆的热烈氛围。 其中，短片以公司贯彻落实国家战略和服务实体经济为主线，内容详实生动、效果大气磅礴，激发海通人强烈共鸣与集体荣誉感。                                                                                                            9月22日司庆日，办公室与主流媒体积极沟通，提供素材，《中国证券报》《上海证券报》都刊发了司庆主题的专稿，引发员工转载热潮，外塑形象，内聚人心。                                                       9月21日-23日中午，在公司开设“司庆文创集市”，以喜庆的新中式风格进行环境布置，集中售卖9种文创产品。大堂设有照片打印机，员工与“海博士”合影后，现场打印照片留下美好纪念。为期三天的集市现场盛况空前，公司文创产品不仅受到员工的喜爱和追捧，还受到董、监事和战略客户的如潮好评。办公室及时撰稿，将公司创新文化传播载体、为公司接续奋斗凝聚强大正能量的精神风貌报送主管部门，并获得国资委新媒体平台录用转发。                                                                    司庆月系列宣传借助新媒体的传播优势，彰显了行业积极奋进的精神面貌，进一步提升公司品牌美誉度。</w:t>
            </w:r>
          </w:p>
        </w:tc>
        <w:tc>
          <w:tcPr>
            <w:tcW w:w="1102"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2022年9月</w:t>
            </w:r>
          </w:p>
        </w:tc>
        <w:tc>
          <w:tcPr>
            <w:tcW w:w="1052"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一个月</w:t>
            </w:r>
          </w:p>
        </w:tc>
        <w:tc>
          <w:tcPr>
            <w:tcW w:w="91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全体员工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疫情防控期间，持续开展正面宣传，释放积极声量</w:t>
            </w:r>
          </w:p>
        </w:tc>
        <w:tc>
          <w:tcPr>
            <w:tcW w:w="3501"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坚持主动发声、正面引导，在主流媒体发布正面报道，讲好海通故事，促进品业共振，形成良性循环。疫情防控期间，运用新媒体平台，将公司疫情防控体系、应急体系高效运转，业务不断不乱等扎实举措向公众推送，展现海通人团结一心，防疫、经营两手抓、两手硬的意志与行动。期间，在主流媒体刊发新闻报道56篇，其中，公司给中国上市公司协会的投稿《海通证券：坚决打赢疫情防控阻击战、攻坚战》被新华网全文转载，阅读量达到134万。</w:t>
            </w:r>
          </w:p>
        </w:tc>
        <w:tc>
          <w:tcPr>
            <w:tcW w:w="1102"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r>
              <w:rPr>
                <w:rStyle w:val="20"/>
                <w:lang w:val="en-US" w:eastAsia="zh-CN" w:bidi="ar"/>
              </w:rPr>
              <w:t>022年</w:t>
            </w:r>
          </w:p>
        </w:tc>
        <w:tc>
          <w:tcPr>
            <w:tcW w:w="91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全体员工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34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打磨官微核心宣传阵地出新出彩，为集团整体品牌推广筑牢基础。</w:t>
            </w:r>
          </w:p>
        </w:tc>
        <w:tc>
          <w:tcPr>
            <w:tcW w:w="3501"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借助新媒体推动宣传工作融合发展，逐步形成了以官方微信公众号为轴心的“1+X”全媒体传播矩阵，对内增进文化认同，坚定文化自信；对外提升公司的影响力和美誉度，使得海通品牌打得更响、辐射更广。通过不断优化功能模块，与时俱进开通话题标签，围绕节点、突出重点、打造亮点，以日推的频率实时跟进公司动态，持续输出品牌价值。2022年内，共发布各类推文超400篇，阅读量合计超75万，编辑文字超53万字，受到外界和媒体的广泛关注，新华社、学习强国、上海广播、新闻晨报等主流媒体及三大报等财经媒体频繁引述其中内容，官微的引领力、传播力和影响力快速提升。遵循新媒体传播规律，贴合时下受众阅读习惯，开通公司视频号，视频号持续探索创新传播内容，目前已涵盖服务发展、数字金融、文化建设、投资者教育等多个主题，以大众喜闻乐见的形式增强传播感染力。春节假期连续推出的《图说海通：海潮澎湃、‘创’开新局》9篇长图获得上海国资委系统的“2022年上海国企好新闻”奖</w:t>
            </w:r>
          </w:p>
        </w:tc>
        <w:tc>
          <w:tcPr>
            <w:tcW w:w="1102"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r>
              <w:rPr>
                <w:rStyle w:val="20"/>
                <w:lang w:val="en-US" w:eastAsia="zh-CN" w:bidi="ar"/>
              </w:rPr>
              <w:t>022年</w:t>
            </w:r>
          </w:p>
        </w:tc>
        <w:tc>
          <w:tcPr>
            <w:tcW w:w="913" w:type="dxa"/>
            <w:vAlign w:val="center"/>
          </w:tcPr>
          <w:p>
            <w:pPr>
              <w:keepNext w:val="0"/>
              <w:keepLines w:val="0"/>
              <w:widowControl/>
              <w:suppressLineNumbers w:val="0"/>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全体员工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践行ESG理念，打造可持续金融新业态。</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成立ESG建设领导小组及工作小组，进一步提升ESG管理能力及水平，推动ESG理念融入公司经营全过程。做好MSCI ESG评级管理和提升，及时回应评级机构关注点、在官网开设专区强化信息披露、加大绿色金融实践传播力度，推动公司MSCI ESG评级由BBB提升至A级，是目前中国证券公司在MSCI ESG评级中获得的最高评级。发布《海通证券“十四五”期间碳达峰碳中和行动方案》，把碳达峰、碳中和纳入公司发展全局，围绕“双碳”理论研究、绿色投融资体系建设、碳金融市场、绿色金融创新等开展主题宣传，倡导绿色发展、绿色生活新风尚。</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ESG建设领导小组及工作小组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打造公司品牌展厅，彰显公司软实力</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完成品牌展厅建设，通过精美布展、数字可视化形式向来访者呈现公司发展历程及成果。品牌展厅投入使用以来，已累计接待参观团队50余批、人员超1000人次。公司品牌展厅已经成为彰显公司软实力的智慧名片、品牌形象的窗口，是全面展示公司综合实力、品牌魅力和文化内涵的阵地。</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全体员工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“北京分公司合规知识竞赛”活动</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依托海通财富研修院，以证券行业相关法律法规和公司规章制度为基础，通过“线上+线下”“个人+团体”双结合的方式在辖区内开展合规知识竞赛活动，多层次推进北京分公司合规内控文化建设。</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2022/4-2022/9</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6个月</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山东分公司专家讲党课</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学习习近平新时代中国特色社会主义思想概论专题会</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2022/10/18</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3小时</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山东分公司专家讲党课</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全面从严治党与干部作风建设</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2022/12/15</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3小时</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“渝”你讲合规-培训大讲堂</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廉洁从业培训</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2022/6/27</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0.5小时</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“渝”你讲合规-培训大讲堂</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新入职员工合规培训</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2022/8/16</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1小时</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“渝”你讲合规-培训大讲堂</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解读2022年版合规手册</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2022/11/30</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1小时</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“渝”你讲合规-创意文化角</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展示合规口号、合规警言</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2022年4月-12月</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9个月</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“渝”你讲合规-万花筒期刊</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以电子期刊形式解读监管案例、公司最新制度等</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2022年4月-12月</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9个月</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“渝”你讲合规-趣味知识赛</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合规反洗钱相关知识现场竞赛</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2022/9/22</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1小时</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“渝”你讲合规-一站式投教</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反洗钱小课堂</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2022年7月-12月</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6个月</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“渝”你讲合规-一站式投教</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防非投教小课堂</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2022年7月-12月</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6个月</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服务案例</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作为河北省证券期货业协会“行业文化建设委员会”的主要单位，策划并协助协会开展2022年度河北辖区行业文化建设相关活动，包括组织会员专业培训、开展年度违法违规案例汇编、公益投教宣传、“诚信文化”书画作品征集活动等，为行业文化作出贡献。</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2022年全年</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2022年全年</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服务案例</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为进一步推进河北辖区行业合规文化建设，促进证券经营机构合规稳健经营，在河北证监局的指导下，河北省证券期货业协会组建“合规人才库”，并于2022年11月启动了对辖区证券分支机构的“固本行动”专项检查。经过资格审查，河北分公司合规总监司可入选“合规人才库”，作为成员参与到“固本行动”专项检查工作中，该项工作持续进行中。</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2022.6.17</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服务案例</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参加河北省证券期货业协会《2021年度证券基金期货违法违规案例汇编》一书的全程制作工作。</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2022.1.20-6.30</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上半年</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合规人员、业务骨干等7人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服务案例</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参加河北省证券期货业协会《2022年度证券基金期货违法违规案例汇编》一书的全程制作工作。</w:t>
            </w: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2022.4.10-12.31</w:t>
            </w: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全年</w:t>
            </w: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合规人员、业务骨干等4人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培训课程</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金沙江路营业部合规总监《《以高质量合规风控工作为营业部发展保驾护航》为主题，从员工执业行为管理、适当性管理、经纪人管理、产品销售管理、信息公示管理、证照报备、反洗钱工作等方面提出合规管理人员一定要不断加强学习，深刻理解领会公司合规和反洗钱最新要求，做好营业部合规工作的守门人。</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2022/1/20</w:t>
            </w:r>
          </w:p>
        </w:tc>
        <w:tc>
          <w:tcPr>
            <w:tcW w:w="105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1小时</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培训课程</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合规总监交流大讲坛活动——《柳州路营业部2021年合规工作履职情况》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上海柳州路营业部合规总监介绍其营业部2021年的合规工作履职情况，以及存在问题和改进措施，提出新一年合规管理工作计划</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2022/1/27</w:t>
            </w:r>
          </w:p>
        </w:tc>
        <w:tc>
          <w:tcPr>
            <w:tcW w:w="105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1小时</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参与志愿公益活动</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政本路营业部3·5学雷锋公益市集主题活动《党建共建推动银证合作，学习雷锋精神走进社区》,为进一步加强券商和银行党建工作，深化党建工作内涵，丰富党建工作手段，创新党建工作方式，围绕中心工作，服务发展大局，充分发挥基层党组织战斗堡垒作用和党员先锋模范作用，推动银行和券商合作步上新的台阶。</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2022/3/3</w:t>
            </w:r>
          </w:p>
        </w:tc>
        <w:tc>
          <w:tcPr>
            <w:tcW w:w="105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3小时</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培训课程</w:t>
            </w: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金沙江路营业部合规总监《《以高质量合规风控工作为营业部发展保驾护航》为主题，从员工执业行为管理、适当性管理、经纪人管理、产品销售管理、信息公示管理、证照报备、反洗钱工作等方面提出合规管理人员一定要不断加强学习，深刻理解领会公司合规和反洗钱最新要求，做好营业部合规工作的守门人。</w:t>
            </w:r>
          </w:p>
        </w:tc>
        <w:tc>
          <w:tcPr>
            <w:tcW w:w="110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2022/1/20</w:t>
            </w:r>
          </w:p>
        </w:tc>
        <w:tc>
          <w:tcPr>
            <w:tcW w:w="105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1小时</w:t>
            </w:r>
          </w:p>
        </w:tc>
        <w:tc>
          <w:tcPr>
            <w:tcW w:w="913"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p>
        </w:tc>
        <w:tc>
          <w:tcPr>
            <w:tcW w:w="134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3501"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bookmarkStart w:id="0" w:name="_GoBack"/>
            <w:bookmarkEnd w:id="0"/>
          </w:p>
        </w:tc>
        <w:tc>
          <w:tcPr>
            <w:tcW w:w="110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5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913"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p>
        </w:tc>
        <w:tc>
          <w:tcPr>
            <w:tcW w:w="1343"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p>
        </w:tc>
        <w:tc>
          <w:tcPr>
            <w:tcW w:w="3501"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p>
        </w:tc>
        <w:tc>
          <w:tcPr>
            <w:tcW w:w="110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p>
        </w:tc>
        <w:tc>
          <w:tcPr>
            <w:tcW w:w="1052"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p>
        </w:tc>
        <w:tc>
          <w:tcPr>
            <w:tcW w:w="913"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p>
        </w:tc>
      </w:tr>
    </w:tbl>
    <w:p>
      <w:pPr>
        <w:keepNext w:val="0"/>
        <w:keepLines w:val="0"/>
        <w:pageBreakBefore w:val="0"/>
        <w:kinsoku/>
        <w:wordWrap/>
        <w:overflowPunct/>
        <w:topLinePunct w:val="0"/>
        <w:autoSpaceDE/>
        <w:autoSpaceDN/>
        <w:bidi w:val="0"/>
        <w:adjustRightInd/>
        <w:snapToGrid/>
        <w:jc w:val="both"/>
        <w:rPr>
          <w:rFonts w:hint="eastAsia" w:ascii="等线" w:hAnsi="等线" w:eastAsia="等线" w:cs="等线"/>
          <w:sz w:val="28"/>
          <w:szCs w:val="28"/>
        </w:rPr>
      </w:pPr>
    </w:p>
    <w:p>
      <w:pPr>
        <w:keepNext w:val="0"/>
        <w:keepLines w:val="0"/>
        <w:pageBreakBefore w:val="0"/>
        <w:kinsoku/>
        <w:wordWrap/>
        <w:overflowPunct/>
        <w:topLinePunct w:val="0"/>
        <w:autoSpaceDE/>
        <w:autoSpaceDN/>
        <w:bidi w:val="0"/>
        <w:adjustRightInd/>
        <w:snapToGrid/>
        <w:jc w:val="both"/>
        <w:rPr>
          <w:rFonts w:hint="eastAsia" w:ascii="等线" w:hAnsi="等线" w:eastAsia="等线" w:cs="等线"/>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28F2"/>
    <w:rsid w:val="000A12D7"/>
    <w:rsid w:val="000C371F"/>
    <w:rsid w:val="00172A27"/>
    <w:rsid w:val="00190799"/>
    <w:rsid w:val="001D43AB"/>
    <w:rsid w:val="0021155A"/>
    <w:rsid w:val="00270E29"/>
    <w:rsid w:val="002F02F2"/>
    <w:rsid w:val="002F1268"/>
    <w:rsid w:val="0031260A"/>
    <w:rsid w:val="00391115"/>
    <w:rsid w:val="0039494A"/>
    <w:rsid w:val="00417259"/>
    <w:rsid w:val="004D2873"/>
    <w:rsid w:val="004F23F5"/>
    <w:rsid w:val="004F24AF"/>
    <w:rsid w:val="0056295B"/>
    <w:rsid w:val="00563A2C"/>
    <w:rsid w:val="006A09F5"/>
    <w:rsid w:val="00700A9E"/>
    <w:rsid w:val="00767E5D"/>
    <w:rsid w:val="00787F45"/>
    <w:rsid w:val="007F437E"/>
    <w:rsid w:val="009115FF"/>
    <w:rsid w:val="00975BF2"/>
    <w:rsid w:val="0098701F"/>
    <w:rsid w:val="00BB1F35"/>
    <w:rsid w:val="00BC4201"/>
    <w:rsid w:val="00BD57A9"/>
    <w:rsid w:val="00C345B8"/>
    <w:rsid w:val="00C55976"/>
    <w:rsid w:val="00C9793C"/>
    <w:rsid w:val="00CC1D43"/>
    <w:rsid w:val="00D346FC"/>
    <w:rsid w:val="00D4060D"/>
    <w:rsid w:val="00DA5800"/>
    <w:rsid w:val="00DB11CB"/>
    <w:rsid w:val="00E16DE2"/>
    <w:rsid w:val="00E8698F"/>
    <w:rsid w:val="00EC79CF"/>
    <w:rsid w:val="00F1318A"/>
    <w:rsid w:val="02830695"/>
    <w:rsid w:val="06F746B0"/>
    <w:rsid w:val="0CDA607B"/>
    <w:rsid w:val="0DED6F2B"/>
    <w:rsid w:val="108B45F2"/>
    <w:rsid w:val="10F542A9"/>
    <w:rsid w:val="13A84D94"/>
    <w:rsid w:val="15221B03"/>
    <w:rsid w:val="1CE5614C"/>
    <w:rsid w:val="1E7015DA"/>
    <w:rsid w:val="247561C9"/>
    <w:rsid w:val="26CF3D97"/>
    <w:rsid w:val="277B682C"/>
    <w:rsid w:val="287527E4"/>
    <w:rsid w:val="29351F7F"/>
    <w:rsid w:val="2AE40898"/>
    <w:rsid w:val="2C376D53"/>
    <w:rsid w:val="2C60249F"/>
    <w:rsid w:val="2D021A32"/>
    <w:rsid w:val="2FF53F04"/>
    <w:rsid w:val="30E71D98"/>
    <w:rsid w:val="345016D0"/>
    <w:rsid w:val="35606509"/>
    <w:rsid w:val="3A5A52F1"/>
    <w:rsid w:val="3A8C78A0"/>
    <w:rsid w:val="3AE71E5B"/>
    <w:rsid w:val="3CA07906"/>
    <w:rsid w:val="3E89541B"/>
    <w:rsid w:val="405E7B53"/>
    <w:rsid w:val="406A081F"/>
    <w:rsid w:val="47CA5328"/>
    <w:rsid w:val="48BD6D45"/>
    <w:rsid w:val="49E42896"/>
    <w:rsid w:val="4AC84C56"/>
    <w:rsid w:val="4B512F63"/>
    <w:rsid w:val="4BD81441"/>
    <w:rsid w:val="52F21AFE"/>
    <w:rsid w:val="53011605"/>
    <w:rsid w:val="56691739"/>
    <w:rsid w:val="5E3872BF"/>
    <w:rsid w:val="5E6F1C36"/>
    <w:rsid w:val="66BC67FA"/>
    <w:rsid w:val="6F447B89"/>
    <w:rsid w:val="737F72DA"/>
    <w:rsid w:val="75B53709"/>
    <w:rsid w:val="76A40592"/>
    <w:rsid w:val="77166BE1"/>
    <w:rsid w:val="777A4FC7"/>
    <w:rsid w:val="788C6ED5"/>
    <w:rsid w:val="795922B0"/>
    <w:rsid w:val="7C9C5270"/>
    <w:rsid w:val="7F355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line="360" w:lineRule="auto"/>
      <w:ind w:right="210" w:firstLine="360"/>
      <w:outlineLvl w:val="2"/>
    </w:pPr>
    <w:rPr>
      <w:rFonts w:ascii="宋体" w:hAnsi="宋体" w:eastAsia="仿宋_GB2312"/>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35"/>
    <w:rPr>
      <w:rFonts w:ascii="Arial" w:hAnsi="Arial" w:eastAsia="黑体"/>
      <w:sz w:val="20"/>
    </w:rPr>
  </w:style>
  <w:style w:type="paragraph" w:styleId="4">
    <w:name w:val="Balloon Text"/>
    <w:basedOn w:val="1"/>
    <w:link w:val="17"/>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semiHidden/>
    <w:unhideWhenUsed/>
    <w:qFormat/>
    <w:uiPriority w:val="99"/>
    <w:rPr>
      <w:color w:val="0000FF"/>
      <w:u w:val="single"/>
    </w:rPr>
  </w:style>
  <w:style w:type="paragraph" w:customStyle="1" w:styleId="13">
    <w:name w:val="大标题"/>
    <w:basedOn w:val="1"/>
    <w:qFormat/>
    <w:uiPriority w:val="0"/>
    <w:pPr>
      <w:tabs>
        <w:tab w:val="left" w:pos="454"/>
      </w:tabs>
      <w:jc w:val="center"/>
    </w:pPr>
    <w:rPr>
      <w:rFonts w:ascii="华文仿宋" w:hAnsi="华文仿宋" w:eastAsia="华文仿宋"/>
      <w:b/>
      <w:sz w:val="36"/>
      <w:szCs w:val="28"/>
    </w:rPr>
  </w:style>
  <w:style w:type="character" w:customStyle="1" w:styleId="1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widowControl/>
      <w:ind w:firstLine="420" w:firstLineChars="200"/>
      <w:jc w:val="left"/>
    </w:pPr>
    <w:rPr>
      <w:rFonts w:ascii="宋体" w:hAnsi="宋体" w:cs="宋体"/>
      <w:kern w:val="0"/>
      <w:sz w:val="24"/>
    </w:rPr>
  </w:style>
  <w:style w:type="character" w:customStyle="1" w:styleId="16">
    <w:name w:val="页眉 Char"/>
    <w:basedOn w:val="10"/>
    <w:link w:val="6"/>
    <w:semiHidden/>
    <w:qFormat/>
    <w:uiPriority w:val="99"/>
    <w:rPr>
      <w:rFonts w:asciiTheme="minorHAnsi" w:hAnsiTheme="minorHAnsi" w:eastAsiaTheme="minorEastAsia" w:cstheme="minorBidi"/>
      <w:kern w:val="2"/>
      <w:sz w:val="18"/>
      <w:szCs w:val="18"/>
    </w:rPr>
  </w:style>
  <w:style w:type="character" w:customStyle="1" w:styleId="17">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8">
    <w:name w:val="font11"/>
    <w:basedOn w:val="10"/>
    <w:qFormat/>
    <w:uiPriority w:val="0"/>
    <w:rPr>
      <w:rFonts w:hint="eastAsia" w:ascii="等线" w:hAnsi="等线" w:eastAsia="等线" w:cs="等线"/>
      <w:color w:val="000000"/>
      <w:sz w:val="22"/>
      <w:szCs w:val="22"/>
      <w:u w:val="none"/>
    </w:rPr>
  </w:style>
  <w:style w:type="character" w:customStyle="1" w:styleId="19">
    <w:name w:val="font01"/>
    <w:basedOn w:val="10"/>
    <w:qFormat/>
    <w:uiPriority w:val="0"/>
    <w:rPr>
      <w:rFonts w:hint="eastAsia" w:ascii="宋体" w:hAnsi="宋体" w:eastAsia="宋体" w:cs="宋体"/>
      <w:b/>
      <w:color w:val="000000"/>
      <w:sz w:val="21"/>
      <w:szCs w:val="21"/>
      <w:u w:val="none"/>
    </w:rPr>
  </w:style>
  <w:style w:type="character" w:customStyle="1" w:styleId="20">
    <w:name w:val="font21"/>
    <w:basedOn w:val="10"/>
    <w:uiPriority w:val="0"/>
    <w:rPr>
      <w:rFonts w:hint="eastAsia" w:ascii="等线" w:hAnsi="等线" w:eastAsia="等线" w:cs="等线"/>
      <w:color w:val="000000"/>
      <w:sz w:val="22"/>
      <w:szCs w:val="22"/>
      <w:u w:val="none"/>
    </w:rPr>
  </w:style>
  <w:style w:type="character" w:customStyle="1" w:styleId="21">
    <w:name w:val="font31"/>
    <w:basedOn w:val="10"/>
    <w:uiPriority w:val="0"/>
    <w:rPr>
      <w:rFonts w:hint="eastAsia" w:ascii="等线" w:hAnsi="等线" w:eastAsia="等线" w:cs="等线"/>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2737</Words>
  <Characters>15607</Characters>
  <Lines>130</Lines>
  <Paragraphs>36</Paragraphs>
  <TotalTime>1</TotalTime>
  <ScaleCrop>false</ScaleCrop>
  <LinksUpToDate>false</LinksUpToDate>
  <CharactersWithSpaces>18308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2022-05-09T08:25:00Z</dcterms:created>
  <dc:creator>Estella Jin</dc:creator>
  <cp:lastModifiedBy>Administrator</cp:lastModifiedBy>
  <dcterms:modified xsi:type="dcterms:W3CDTF">2023-05-19T02:57:49Z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EF553B540DB54234AE012CCA306B0104</vt:lpwstr>
  </property>
</Properties>
</file>