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深交所收费及代收税费标准（2023年8月）</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tbl>
      <w:tblPr>
        <w:tblW w:w="118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20"/>
        <w:gridCol w:w="1480"/>
        <w:gridCol w:w="2293"/>
        <w:gridCol w:w="3439"/>
        <w:gridCol w:w="3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4" w:hRule="atLeast"/>
          <w:jc w:val="center"/>
        </w:trPr>
        <w:tc>
          <w:tcPr>
            <w:tcW w:w="136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b/>
                <w:bCs/>
                <w:kern w:val="0"/>
                <w:sz w:val="24"/>
                <w:szCs w:val="24"/>
                <w:bdr w:val="none" w:color="auto" w:sz="0" w:space="0"/>
                <w:lang w:val="en-US" w:eastAsia="zh-CN" w:bidi="ar"/>
              </w:rPr>
              <w:t>收费对象</w:t>
            </w:r>
          </w:p>
        </w:tc>
        <w:tc>
          <w:tcPr>
            <w:tcW w:w="1532"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b/>
                <w:bCs/>
                <w:kern w:val="0"/>
                <w:sz w:val="24"/>
                <w:szCs w:val="24"/>
                <w:bdr w:val="none" w:color="auto" w:sz="0" w:space="0"/>
                <w:lang w:val="en-US" w:eastAsia="zh-CN" w:bidi="ar"/>
              </w:rPr>
              <w:t>收费项目</w:t>
            </w:r>
          </w:p>
        </w:tc>
        <w:tc>
          <w:tcPr>
            <w:tcW w:w="2380"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b/>
                <w:bCs/>
                <w:kern w:val="0"/>
                <w:sz w:val="24"/>
                <w:szCs w:val="24"/>
                <w:bdr w:val="none" w:color="auto" w:sz="0" w:space="0"/>
                <w:lang w:val="en-US" w:eastAsia="zh-CN" w:bidi="ar"/>
              </w:rPr>
              <w:t>收费标的</w:t>
            </w:r>
          </w:p>
        </w:tc>
        <w:tc>
          <w:tcPr>
            <w:tcW w:w="3544"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b/>
                <w:bCs/>
                <w:kern w:val="0"/>
                <w:sz w:val="24"/>
                <w:szCs w:val="24"/>
                <w:bdr w:val="none" w:color="auto" w:sz="0" w:space="0"/>
                <w:lang w:val="en-US" w:eastAsia="zh-CN" w:bidi="ar"/>
              </w:rPr>
              <w:t>收费标准</w:t>
            </w:r>
          </w:p>
        </w:tc>
        <w:tc>
          <w:tcPr>
            <w:tcW w:w="3404"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b/>
                <w:bCs/>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kern w:val="0"/>
                <w:sz w:val="24"/>
                <w:szCs w:val="24"/>
                <w:bdr w:val="none" w:color="auto" w:sz="0" w:space="0"/>
                <w:lang w:val="en-US" w:eastAsia="zh-CN" w:bidi="ar"/>
              </w:rPr>
              <w:t>投资者</w:t>
            </w:r>
          </w:p>
        </w:tc>
        <w:tc>
          <w:tcPr>
            <w:tcW w:w="1532"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kern w:val="0"/>
                <w:sz w:val="24"/>
                <w:szCs w:val="24"/>
                <w:bdr w:val="none" w:color="auto" w:sz="0" w:space="0"/>
                <w:lang w:val="en-US" w:eastAsia="zh-CN" w:bidi="ar"/>
              </w:rPr>
              <w:t>证券交易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kern w:val="0"/>
                <w:sz w:val="24"/>
                <w:szCs w:val="24"/>
                <w:bdr w:val="none" w:color="auto" w:sz="0" w:space="0"/>
                <w:lang w:val="en-US" w:eastAsia="zh-CN" w:bidi="ar"/>
              </w:rPr>
              <w:t>经手费</w:t>
            </w: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A股</w:t>
            </w:r>
          </w:p>
        </w:tc>
        <w:tc>
          <w:tcPr>
            <w:tcW w:w="3544"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按成交额双边收取0.0341‰</w:t>
            </w:r>
          </w:p>
        </w:tc>
        <w:tc>
          <w:tcPr>
            <w:tcW w:w="3404"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1.大宗交易收费：A股大宗交易按标准费率下浮30%收取；B股、基金大宗交易按标准费率下浮50%收取。2.约定购回式证券交易参照相应品种大宗交易收费标准执行。3.债券ETF、货币ETF暂免收取证券交易经手费。4.资产管理计划份额转让暂免收取转让经手费。5.自2022年7月1日起至2025年6月30日免收债券（不含可转债）及资产支持证券的交易经手费。6.自2023年8月28日起，本所A股、B股交易经手费收费标准由按成交金额的0.0487‰双边收取下调至按成交金额的0.0341‰双边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B股</w:t>
            </w:r>
          </w:p>
        </w:tc>
        <w:tc>
          <w:tcPr>
            <w:tcW w:w="354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340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基金</w:t>
            </w: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按成交额双边收取0.04‰</w:t>
            </w:r>
          </w:p>
        </w:tc>
        <w:tc>
          <w:tcPr>
            <w:tcW w:w="340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优先股</w:t>
            </w: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试点期间按普通股标准的80%收取</w:t>
            </w:r>
          </w:p>
        </w:tc>
        <w:tc>
          <w:tcPr>
            <w:tcW w:w="340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权证</w:t>
            </w: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按成交额双边收取0.045‰</w:t>
            </w:r>
          </w:p>
        </w:tc>
        <w:tc>
          <w:tcPr>
            <w:tcW w:w="340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国债现货/地方债</w:t>
            </w:r>
          </w:p>
        </w:tc>
        <w:tc>
          <w:tcPr>
            <w:tcW w:w="3544"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成交金额在100万元以下（含）每笔收0.1元；成交金额在100万元以上每笔收10元。</w:t>
            </w:r>
          </w:p>
        </w:tc>
        <w:tc>
          <w:tcPr>
            <w:tcW w:w="340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企业债/公司债现货</w:t>
            </w:r>
          </w:p>
        </w:tc>
        <w:tc>
          <w:tcPr>
            <w:tcW w:w="354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340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资产支持证券</w:t>
            </w:r>
          </w:p>
        </w:tc>
        <w:tc>
          <w:tcPr>
            <w:tcW w:w="354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340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政策性金融债/铁道债</w:t>
            </w:r>
          </w:p>
        </w:tc>
        <w:tc>
          <w:tcPr>
            <w:tcW w:w="354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340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债券通用质押式回购/债券质押式协议回购/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债券质押式三方回购</w:t>
            </w: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暂免收取</w:t>
            </w:r>
          </w:p>
        </w:tc>
        <w:tc>
          <w:tcPr>
            <w:tcW w:w="340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股票质押式回购</w:t>
            </w: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按每笔初始交易质押标的证券面值1‰收取，最高不超过100元。</w:t>
            </w:r>
          </w:p>
        </w:tc>
        <w:tc>
          <w:tcPr>
            <w:tcW w:w="340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可转换公司债/可交换公司债</w:t>
            </w: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按成交金额双边收取0.04‰</w:t>
            </w:r>
          </w:p>
        </w:tc>
        <w:tc>
          <w:tcPr>
            <w:tcW w:w="340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质押式报价回购</w:t>
            </w: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暂免收取</w:t>
            </w:r>
          </w:p>
        </w:tc>
        <w:tc>
          <w:tcPr>
            <w:tcW w:w="3404"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股票期权合约</w:t>
            </w: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每张股票期权合约收取交易经手费1.3元</w:t>
            </w:r>
          </w:p>
        </w:tc>
        <w:tc>
          <w:tcPr>
            <w:tcW w:w="3404"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股票期权试点初期暂免收取卖出开仓交易（含备兑开仓）的相应交易经手费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kern w:val="0"/>
                <w:sz w:val="24"/>
                <w:szCs w:val="24"/>
                <w:bdr w:val="none" w:color="auto" w:sz="0" w:space="0"/>
                <w:lang w:val="en-US" w:eastAsia="zh-CN" w:bidi="ar"/>
              </w:rPr>
              <w:t>证券交易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kern w:val="0"/>
                <w:sz w:val="24"/>
                <w:szCs w:val="24"/>
                <w:bdr w:val="none" w:color="auto" w:sz="0" w:space="0"/>
                <w:lang w:val="en-US" w:eastAsia="zh-CN" w:bidi="ar"/>
              </w:rPr>
              <w:t>监管费</w:t>
            </w: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A股</w:t>
            </w:r>
          </w:p>
        </w:tc>
        <w:tc>
          <w:tcPr>
            <w:tcW w:w="3544"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按成交额双边收取0.02‰</w:t>
            </w:r>
          </w:p>
        </w:tc>
        <w:tc>
          <w:tcPr>
            <w:tcW w:w="3404"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代中国证监会收取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B股</w:t>
            </w:r>
          </w:p>
        </w:tc>
        <w:tc>
          <w:tcPr>
            <w:tcW w:w="354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340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优先股</w:t>
            </w:r>
          </w:p>
        </w:tc>
        <w:tc>
          <w:tcPr>
            <w:tcW w:w="354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3404"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kern w:val="0"/>
                <w:sz w:val="24"/>
                <w:szCs w:val="24"/>
                <w:bdr w:val="none" w:color="auto" w:sz="0" w:space="0"/>
                <w:lang w:val="en-US" w:eastAsia="zh-CN" w:bidi="ar"/>
              </w:rPr>
              <w:t>发行人</w:t>
            </w:r>
          </w:p>
        </w:tc>
        <w:tc>
          <w:tcPr>
            <w:tcW w:w="1532"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kern w:val="0"/>
                <w:sz w:val="24"/>
                <w:szCs w:val="24"/>
                <w:bdr w:val="none" w:color="auto" w:sz="0" w:space="0"/>
                <w:lang w:val="en-US" w:eastAsia="zh-CN" w:bidi="ar"/>
              </w:rPr>
              <w:t>上市初费</w:t>
            </w: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A股/B股</w:t>
            </w: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总股本2亿以下（含），30万元；总股本2亿至4亿（含），45万元；总股本4亿至6亿（含），55万元；总股本6亿至8亿（含），60万元；总股本8亿以上，65万元。</w:t>
            </w:r>
          </w:p>
        </w:tc>
        <w:tc>
          <w:tcPr>
            <w:tcW w:w="340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1.自2021年6月1日起，本所暂免收取总股本8亿股（含）以下的上市公司上市初费；总股本8亿股以上的上市公司上市初费，本所在此标准上减半取整后再减半收取，即17.5万元；创业板再减半收取，即8.75万元。总股本为A、B股合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2.免收深市上市公司2022年度、2023年度上市初费。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优先股</w:t>
            </w: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试点期间按普通股标准的80%收取</w:t>
            </w:r>
          </w:p>
        </w:tc>
        <w:tc>
          <w:tcPr>
            <w:tcW w:w="340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基金</w:t>
            </w: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3万元</w:t>
            </w:r>
          </w:p>
        </w:tc>
        <w:tc>
          <w:tcPr>
            <w:tcW w:w="340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1.暂免收取ETF上市初费。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pPr>
            <w:r>
              <w:rPr>
                <w:rFonts w:hint="eastAsia" w:ascii="宋体" w:hAnsi="宋体" w:eastAsia="宋体" w:cs="宋体"/>
                <w:sz w:val="24"/>
                <w:szCs w:val="24"/>
                <w:bdr w:val="none" w:color="auto" w:sz="0" w:space="0"/>
              </w:rPr>
              <w:t>2.免收2022年度、2023年度基金上市初费。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权证</w:t>
            </w: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20万元</w:t>
            </w:r>
          </w:p>
        </w:tc>
        <w:tc>
          <w:tcPr>
            <w:tcW w:w="340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企业债/公司债</w:t>
            </w: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暂免收取</w:t>
            </w:r>
          </w:p>
        </w:tc>
        <w:tc>
          <w:tcPr>
            <w:tcW w:w="340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可转换公司债/可交换公司债</w:t>
            </w: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暂免收取</w:t>
            </w:r>
          </w:p>
        </w:tc>
        <w:tc>
          <w:tcPr>
            <w:tcW w:w="340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资产支持证券</w:t>
            </w: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暂免收取</w:t>
            </w:r>
          </w:p>
        </w:tc>
        <w:tc>
          <w:tcPr>
            <w:tcW w:w="340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kern w:val="0"/>
                <w:sz w:val="24"/>
                <w:szCs w:val="24"/>
                <w:bdr w:val="none" w:color="auto" w:sz="0" w:space="0"/>
                <w:lang w:val="en-US" w:eastAsia="zh-CN" w:bidi="ar"/>
              </w:rPr>
              <w:t>上市年费</w:t>
            </w: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A股/B股</w:t>
            </w: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总股本2亿以下（含），5万元；总股本2亿至4亿（含），8万元；总股本4亿至6亿（含），10万元；总股本6亿至8亿（含），12万元；总股本8亿以上，15万元。</w:t>
            </w:r>
          </w:p>
        </w:tc>
        <w:tc>
          <w:tcPr>
            <w:tcW w:w="340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1.自2021年6月1日起，本所暂免收取总股本8亿股（含）以下的上市公司上市年费；总股本8亿股以上的上市公司上市年费，本所在此标准上减半收取，即7.5万元；创业板再减半收取，即3.75万元。总股本为A、B股合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2.免收深市上市公司2022年度、2023年度上市年费。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优先股</w:t>
            </w: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试点期间按普通股标准的80%收取</w:t>
            </w:r>
          </w:p>
        </w:tc>
        <w:tc>
          <w:tcPr>
            <w:tcW w:w="340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基金</w:t>
            </w: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6万元</w:t>
            </w:r>
          </w:p>
        </w:tc>
        <w:tc>
          <w:tcPr>
            <w:tcW w:w="340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1.自2020年1月1日起，暂免收取ETF上市年费。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2.免收2022年度、2023年度基金上市年费。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企业债/公司债</w:t>
            </w: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暂免收取</w:t>
            </w:r>
          </w:p>
        </w:tc>
        <w:tc>
          <w:tcPr>
            <w:tcW w:w="340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可转换公司债/可交换公司债</w:t>
            </w: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暂免收取</w:t>
            </w:r>
          </w:p>
        </w:tc>
        <w:tc>
          <w:tcPr>
            <w:tcW w:w="340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资产支持证券</w:t>
            </w: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暂免收取</w:t>
            </w:r>
          </w:p>
        </w:tc>
        <w:tc>
          <w:tcPr>
            <w:tcW w:w="340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kern w:val="0"/>
                <w:sz w:val="24"/>
                <w:szCs w:val="24"/>
                <w:bdr w:val="none" w:color="auto" w:sz="0" w:space="0"/>
                <w:lang w:val="en-US" w:eastAsia="zh-CN" w:bidi="ar"/>
              </w:rPr>
              <w:t>会员</w:t>
            </w:r>
          </w:p>
        </w:tc>
        <w:tc>
          <w:tcPr>
            <w:tcW w:w="153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kern w:val="0"/>
                <w:sz w:val="24"/>
                <w:szCs w:val="24"/>
                <w:bdr w:val="none" w:color="auto" w:sz="0" w:space="0"/>
                <w:lang w:val="en-US" w:eastAsia="zh-CN" w:bidi="ar"/>
              </w:rPr>
              <w:t>席位费</w:t>
            </w:r>
          </w:p>
        </w:tc>
        <w:tc>
          <w:tcPr>
            <w:tcW w:w="23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席位</w:t>
            </w: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普通60万元/个，特别席位20万元/个。</w:t>
            </w:r>
          </w:p>
        </w:tc>
        <w:tc>
          <w:tcPr>
            <w:tcW w:w="3404"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kern w:val="0"/>
                <w:sz w:val="24"/>
                <w:szCs w:val="24"/>
                <w:bdr w:val="none" w:color="auto" w:sz="0" w:space="0"/>
                <w:lang w:val="en-US" w:eastAsia="zh-CN" w:bidi="ar"/>
              </w:rPr>
              <w:t>会员管理费用</w:t>
            </w:r>
          </w:p>
        </w:tc>
        <w:tc>
          <w:tcPr>
            <w:tcW w:w="2380"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交易单元</w:t>
            </w: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1．交易单元使用费：对会员使用超出交费席位（指已交席位初费的席位）数量以外的交易单元，每年收取30000元/个的交易单元使用费。</w:t>
            </w:r>
          </w:p>
        </w:tc>
        <w:tc>
          <w:tcPr>
            <w:tcW w:w="340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2．流速费：对会员使用超出交费席位（指已交席位初费的席位）数量以外的流速，每年收取9600元/份的流速费。每份流速为50笔/秒。</w:t>
            </w:r>
          </w:p>
        </w:tc>
        <w:tc>
          <w:tcPr>
            <w:tcW w:w="340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2014年7月1日起，由深圳证券通信公司收取。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66"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532"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380"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354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3．流量费：每笔交易类申报（指买入、卖出、撤单申报）收取0.1元，每笔非交易类申报（指除买入、卖出、撤单以外的申报）收取0.01元。</w:t>
            </w:r>
          </w:p>
        </w:tc>
        <w:tc>
          <w:tcPr>
            <w:tcW w:w="340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宋体" w:hAnsi="宋体" w:eastAsia="宋体" w:cs="宋体"/>
                <w:kern w:val="0"/>
                <w:sz w:val="24"/>
                <w:szCs w:val="24"/>
                <w:bdr w:val="none" w:color="auto" w:sz="0" w:space="0"/>
                <w:lang w:val="en-US" w:eastAsia="zh-CN" w:bidi="ar"/>
              </w:rPr>
              <w:t>1.2014年7月1日起，本所与深圳证券通信公司按6:4比例分别收取；2.会员每个席位每年享有的交易类、非交易类免费申报笔数均为3万笔；3.债券ETF、货币ETF免收交易单元流量费；4.暂免收取流动性服务商为上市基金提供流动性服务产生的交易单元流量费；5.暂免收取期权业务相关的交易单元流量费；6.自2022年7月1日起至2025年6月30日免收债券（不含可转债）及资产支持证券流量费；7.免收深市基金2023年的交易单元流量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6790B"/>
    <w:rsid w:val="51467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2023-08-25T02:54:00Z</dcterms:created>
  <dc:creator>A</dc:creator>
  <cp:lastModifiedBy>A</cp:lastModifiedBy>
  <dcterms:modified xsi:type="dcterms:W3CDTF">2023-08-25T02:56:55Z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E09ADDBBC0A84CFA8EF0B9E356C6232B</vt:lpwstr>
  </property>
</Properties>
</file>