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0" w:beforeAutospacing="0" w:after="30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7"/>
          <w:szCs w:val="27"/>
          <w:bdr w:val="none" w:color="auto" w:sz="0" w:space="0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bdr w:val="none" w:color="auto" w:sz="0" w:space="0"/>
        </w:rPr>
        <w:t>关于投资者参与北交所股票交易佣金收费的通知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450" w:lineRule="atLeast"/>
        <w:ind w:left="0" w:right="0" w:firstLine="42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12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7"/>
          <w:szCs w:val="27"/>
          <w:bdr w:val="none" w:color="auto" w:sz="0" w:space="0"/>
        </w:rPr>
        <w:t>尊敬的投资者：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45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7"/>
          <w:szCs w:val="27"/>
          <w:bdr w:val="none" w:color="auto" w:sz="0" w:space="0"/>
        </w:rPr>
        <w:t>北交所将于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7"/>
          <w:szCs w:val="27"/>
          <w:bdr w:val="none" w:color="auto" w:sz="0" w:space="0"/>
          <w:lang w:val="en-US" w:eastAsia="zh-CN"/>
        </w:rPr>
        <w:t>2021年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7"/>
          <w:szCs w:val="27"/>
          <w:bdr w:val="none" w:color="auto" w:sz="0" w:space="0"/>
        </w:rPr>
        <w:t>11月15日开市，根据中国证券登记结算有限责任公司公布的《北京市场证券登记结算业务收费及代收税费一览表》，北交所股票交易费用与新三板挂牌公司股票交易费用一致。若您已在我部开通新三板权限，并已就新三板交易佣金与我部进行约定，则北交所股票交易佣金将与新三板交易佣金一致；若您在我部仅开通了北交所权限，则北交所交易佣金将默认按照成交金额的1.5‰收取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45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7"/>
          <w:szCs w:val="27"/>
          <w:bdr w:val="none" w:color="auto" w:sz="0" w:space="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7"/>
          <w:szCs w:val="27"/>
          <w:bdr w:val="none" w:color="auto" w:sz="0" w:space="0"/>
        </w:rPr>
        <w:t>若您想具体了解您当前的北交所佣金设置水平或进行调整，请您致电营业部或客户经理进行咨询。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45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7"/>
          <w:szCs w:val="27"/>
          <w:bdr w:val="none" w:color="auto" w:sz="0" w:space="0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7"/>
          <w:szCs w:val="27"/>
          <w:bdr w:val="none" w:color="auto" w:sz="0" w:space="0"/>
          <w:lang w:val="en-US" w:eastAsia="zh-CN"/>
        </w:rPr>
        <w:t xml:space="preserve">                    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450" w:lineRule="atLeast"/>
        <w:ind w:left="0" w:right="0" w:firstLine="420"/>
        <w:jc w:val="right"/>
        <w:rPr>
          <w:rFonts w:hint="default" w:ascii="微软雅黑" w:hAnsi="微软雅黑" w:eastAsia="微软雅黑" w:cs="微软雅黑"/>
          <w:i w:val="0"/>
          <w:caps w:val="0"/>
          <w:color w:val="333333"/>
          <w:spacing w:val="12"/>
          <w:sz w:val="27"/>
          <w:szCs w:val="27"/>
          <w:bdr w:val="none" w:color="auto" w:sz="0" w:space="0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7"/>
          <w:szCs w:val="27"/>
          <w:bdr w:val="none" w:color="auto" w:sz="0" w:space="0"/>
          <w:lang w:val="en-US" w:eastAsia="zh-CN"/>
        </w:rPr>
        <w:t xml:space="preserve">   海通证券咸阳沈兴北路证券营业部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BF2F9D"/>
    <w:rsid w:val="3DB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2023-08-26T07:32:00Z</dcterms:created>
  <dc:creator>徐波/htsec</dc:creator>
  <cp:lastModifiedBy>徐波/htsec</cp:lastModifiedBy>
  <dcterms:modified xsi:type="dcterms:W3CDTF">2023-08-26T07:35:52Z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