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center"/>
        <w:rPr>
          <w:rFonts w:ascii="微软雅黑" w:hAnsi="微软雅黑" w:eastAsia="微软雅黑" w:cs="微软雅黑"/>
          <w:i w:val="0"/>
          <w:iCs w:val="0"/>
          <w:caps w:val="0"/>
          <w:color w:val="333333"/>
          <w:spacing w:val="12"/>
          <w:sz w:val="27"/>
          <w:szCs w:val="27"/>
        </w:rPr>
      </w:pPr>
      <w:r>
        <w:rPr>
          <w:rFonts w:hint="eastAsia" w:ascii="微软雅黑" w:hAnsi="微软雅黑" w:eastAsia="微软雅黑" w:cs="微软雅黑"/>
          <w:i w:val="0"/>
          <w:iCs w:val="0"/>
          <w:caps w:val="0"/>
          <w:color w:val="333333"/>
          <w:spacing w:val="12"/>
          <w:sz w:val="27"/>
          <w:szCs w:val="27"/>
        </w:rPr>
        <w:t>关于交易佣金收取标准及交易佣金与印花税等其他相关税费的公示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i w:val="0"/>
          <w:iCs w:val="0"/>
          <w:caps w:val="0"/>
          <w:color w:val="333333"/>
          <w:spacing w:val="12"/>
          <w:sz w:val="27"/>
          <w:szCs w:val="27"/>
        </w:rPr>
      </w:pPr>
      <w:r>
        <w:rPr>
          <w:rFonts w:hint="eastAsia" w:ascii="微软雅黑" w:hAnsi="微软雅黑" w:eastAsia="微软雅黑" w:cs="微软雅黑"/>
          <w:i w:val="0"/>
          <w:iCs w:val="0"/>
          <w:caps w:val="0"/>
          <w:color w:val="333333"/>
          <w:spacing w:val="12"/>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i w:val="0"/>
          <w:iCs w:val="0"/>
          <w:caps w:val="0"/>
          <w:color w:val="333333"/>
          <w:spacing w:val="12"/>
          <w:sz w:val="27"/>
          <w:szCs w:val="27"/>
        </w:rPr>
      </w:pPr>
      <w:r>
        <w:rPr>
          <w:rFonts w:hint="eastAsia" w:ascii="微软雅黑" w:hAnsi="微软雅黑" w:eastAsia="微软雅黑" w:cs="微软雅黑"/>
          <w:i w:val="0"/>
          <w:iCs w:val="0"/>
          <w:caps w:val="0"/>
          <w:color w:val="333333"/>
          <w:spacing w:val="12"/>
          <w:sz w:val="27"/>
          <w:szCs w:val="27"/>
        </w:rPr>
        <w:t>尊敬的投资者：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i w:val="0"/>
          <w:iCs w:val="0"/>
          <w:caps w:val="0"/>
          <w:color w:val="333333"/>
          <w:spacing w:val="12"/>
          <w:sz w:val="27"/>
          <w:szCs w:val="27"/>
        </w:rPr>
      </w:pPr>
      <w:r>
        <w:rPr>
          <w:rFonts w:hint="eastAsia" w:ascii="微软雅黑" w:hAnsi="微软雅黑" w:eastAsia="微软雅黑" w:cs="微软雅黑"/>
          <w:i w:val="0"/>
          <w:iCs w:val="0"/>
          <w:caps w:val="0"/>
          <w:color w:val="333333"/>
          <w:spacing w:val="12"/>
          <w:sz w:val="27"/>
          <w:szCs w:val="27"/>
        </w:rPr>
        <w:t>       根据证券监管机构关于投资者服务和佣金管理的有关规定，现将公司证券交易佣金收费标准及交易所证券登记结算业务收费及代收税费告知如下：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i w:val="0"/>
          <w:iCs w:val="0"/>
          <w:caps w:val="0"/>
          <w:color w:val="333333"/>
          <w:spacing w:val="12"/>
          <w:sz w:val="27"/>
          <w:szCs w:val="27"/>
        </w:rPr>
      </w:pPr>
      <w:r>
        <w:rPr>
          <w:rFonts w:hint="eastAsia" w:ascii="微软雅黑" w:hAnsi="微软雅黑" w:eastAsia="微软雅黑" w:cs="微软雅黑"/>
          <w:i w:val="0"/>
          <w:iCs w:val="0"/>
          <w:caps w:val="0"/>
          <w:color w:val="333333"/>
          <w:spacing w:val="12"/>
          <w:sz w:val="27"/>
          <w:szCs w:val="27"/>
        </w:rPr>
        <w:t>       </w:t>
      </w:r>
      <w:bookmarkStart w:id="0" w:name="_GoBack"/>
      <w:bookmarkEnd w:id="0"/>
      <w:r>
        <w:rPr>
          <w:rFonts w:hint="eastAsia" w:ascii="微软雅黑" w:hAnsi="微软雅黑" w:eastAsia="微软雅黑" w:cs="微软雅黑"/>
          <w:i w:val="0"/>
          <w:iCs w:val="0"/>
          <w:caps w:val="0"/>
          <w:color w:val="333333"/>
          <w:spacing w:val="12"/>
          <w:sz w:val="27"/>
          <w:szCs w:val="27"/>
        </w:rPr>
        <w:t>海通证券股份有限公司证券交易佣金收取标准</w:t>
      </w:r>
    </w:p>
    <w:tbl>
      <w:tblPr>
        <w:tblStyle w:val="3"/>
        <w:tblW w:w="0" w:type="auto"/>
        <w:jc w:val="center"/>
        <w:tblBorders>
          <w:top w:val="single" w:color="D6E5F2" w:sz="6" w:space="0"/>
          <w:left w:val="single" w:color="D6E5F2" w:sz="6" w:space="0"/>
          <w:bottom w:val="single" w:color="D6E5F2" w:sz="6" w:space="0"/>
          <w:right w:val="single" w:color="D6E5F2" w:sz="6" w:space="0"/>
          <w:insideH w:val="none" w:color="auto" w:sz="0" w:space="0"/>
          <w:insideV w:val="none" w:color="auto" w:sz="0" w:space="0"/>
        </w:tblBorders>
        <w:shd w:val="clear" w:color="auto" w:fill="F5FAFF"/>
        <w:tblLayout w:type="autofit"/>
        <w:tblCellMar>
          <w:top w:w="15" w:type="dxa"/>
          <w:left w:w="15" w:type="dxa"/>
          <w:bottom w:w="15" w:type="dxa"/>
          <w:right w:w="15" w:type="dxa"/>
        </w:tblCellMar>
      </w:tblPr>
      <w:tblGrid>
        <w:gridCol w:w="2815"/>
        <w:gridCol w:w="5731"/>
      </w:tblGrid>
      <w:tr>
        <w:tblPrEx>
          <w:tblBorders>
            <w:top w:val="single" w:color="D6E5F2" w:sz="6" w:space="0"/>
            <w:left w:val="single" w:color="D6E5F2" w:sz="6" w:space="0"/>
            <w:bottom w:val="single" w:color="D6E5F2" w:sz="6" w:space="0"/>
            <w:right w:val="single" w:color="D6E5F2" w:sz="6" w:space="0"/>
            <w:insideH w:val="none" w:color="auto" w:sz="0" w:space="0"/>
            <w:insideV w:val="none" w:color="auto" w:sz="0" w:space="0"/>
          </w:tblBorders>
          <w:shd w:val="clear" w:color="auto" w:fill="F5FAFF"/>
          <w:tblCellMar>
            <w:top w:w="15" w:type="dxa"/>
            <w:left w:w="15" w:type="dxa"/>
            <w:bottom w:w="15" w:type="dxa"/>
            <w:right w:w="15" w:type="dxa"/>
          </w:tblCellMar>
        </w:tblPrEx>
        <w:trPr>
          <w:trHeight w:val="675" w:hRule="atLeast"/>
          <w:jc w:val="center"/>
        </w:trPr>
        <w:tc>
          <w:tcPr>
            <w:tcW w:w="3180" w:type="dxa"/>
            <w:tcBorders>
              <w:top w:val="single" w:color="D6E5F2" w:sz="6" w:space="0"/>
              <w:left w:val="single" w:color="D6E5F2" w:sz="6" w:space="0"/>
              <w:bottom w:val="single" w:color="D6E5F2" w:sz="6" w:space="0"/>
              <w:right w:val="single" w:color="D6E5F2" w:sz="6" w:space="0"/>
            </w:tcBorders>
            <w:shd w:val="clear" w:color="auto" w:fill="005BAC"/>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ascii="PingFangSC-Semibold" w:hAnsi="PingFangSC-Semibold" w:eastAsia="PingFangSC-Semibold" w:cs="PingFangSC-Semibold"/>
                <w:color w:val="FFFFFF"/>
                <w:spacing w:val="12"/>
                <w:sz w:val="30"/>
                <w:szCs w:val="30"/>
              </w:rPr>
            </w:pPr>
            <w:r>
              <w:rPr>
                <w:rFonts w:hint="default" w:ascii="PingFangSC-Semibold" w:hAnsi="PingFangSC-Semibold" w:eastAsia="PingFangSC-Semibold" w:cs="PingFangSC-Semibold"/>
                <w:i w:val="0"/>
                <w:iCs w:val="0"/>
                <w:caps w:val="0"/>
                <w:color w:val="FFFFFF"/>
                <w:spacing w:val="12"/>
                <w:sz w:val="30"/>
                <w:szCs w:val="30"/>
              </w:rPr>
              <w:t>业务类别</w:t>
            </w:r>
          </w:p>
        </w:tc>
        <w:tc>
          <w:tcPr>
            <w:tcW w:w="6735" w:type="dxa"/>
            <w:tcBorders>
              <w:top w:val="single" w:color="D6E5F2" w:sz="6" w:space="0"/>
              <w:left w:val="single" w:color="D6E5F2" w:sz="6" w:space="0"/>
              <w:bottom w:val="single" w:color="D6E5F2" w:sz="6" w:space="0"/>
              <w:right w:val="single" w:color="D6E5F2" w:sz="6" w:space="0"/>
            </w:tcBorders>
            <w:shd w:val="clear" w:color="auto" w:fill="005BAC"/>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default" w:ascii="PingFangSC-Semibold" w:hAnsi="PingFangSC-Semibold" w:eastAsia="PingFangSC-Semibold" w:cs="PingFangSC-Semibold"/>
                <w:color w:val="FFFFFF"/>
                <w:spacing w:val="12"/>
                <w:sz w:val="30"/>
                <w:szCs w:val="30"/>
              </w:rPr>
            </w:pPr>
            <w:r>
              <w:rPr>
                <w:rFonts w:hint="default" w:ascii="PingFangSC-Semibold" w:hAnsi="PingFangSC-Semibold" w:eastAsia="PingFangSC-Semibold" w:cs="PingFangSC-Semibold"/>
                <w:i w:val="0"/>
                <w:iCs w:val="0"/>
                <w:caps w:val="0"/>
                <w:color w:val="FFFFFF"/>
                <w:spacing w:val="12"/>
                <w:sz w:val="30"/>
                <w:szCs w:val="30"/>
              </w:rPr>
              <w:t>佣金收取标准</w:t>
            </w:r>
          </w:p>
        </w:tc>
      </w:tr>
      <w:tr>
        <w:tblPrEx>
          <w:tblBorders>
            <w:top w:val="single" w:color="D6E5F2" w:sz="6" w:space="0"/>
            <w:left w:val="single" w:color="D6E5F2" w:sz="6" w:space="0"/>
            <w:bottom w:val="single" w:color="D6E5F2" w:sz="6" w:space="0"/>
            <w:right w:val="single" w:color="D6E5F2" w:sz="6" w:space="0"/>
            <w:insideH w:val="none" w:color="auto" w:sz="0" w:space="0"/>
            <w:insideV w:val="none" w:color="auto" w:sz="0" w:space="0"/>
          </w:tblBorders>
          <w:shd w:val="clear" w:color="auto" w:fill="F5FAFF"/>
          <w:tblCellMar>
            <w:top w:w="15" w:type="dxa"/>
            <w:left w:w="15" w:type="dxa"/>
            <w:bottom w:w="15" w:type="dxa"/>
            <w:right w:w="15" w:type="dxa"/>
          </w:tblCellMar>
        </w:tblPrEx>
        <w:trPr>
          <w:trHeight w:val="789" w:hRule="atLeast"/>
          <w:jc w:val="center"/>
        </w:trPr>
        <w:tc>
          <w:tcPr>
            <w:tcW w:w="3180"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A股、优先股</w:t>
            </w:r>
          </w:p>
        </w:tc>
        <w:tc>
          <w:tcPr>
            <w:tcW w:w="6735"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不超过成交金额的0.3%，起点5元</w:t>
            </w:r>
          </w:p>
        </w:tc>
      </w:tr>
      <w:tr>
        <w:tblPrEx>
          <w:tblBorders>
            <w:top w:val="single" w:color="D6E5F2" w:sz="6" w:space="0"/>
            <w:left w:val="single" w:color="D6E5F2" w:sz="6" w:space="0"/>
            <w:bottom w:val="single" w:color="D6E5F2" w:sz="6" w:space="0"/>
            <w:right w:val="single" w:color="D6E5F2" w:sz="6" w:space="0"/>
            <w:insideH w:val="none" w:color="auto" w:sz="0" w:space="0"/>
            <w:insideV w:val="none" w:color="auto" w:sz="0" w:space="0"/>
          </w:tblBorders>
          <w:shd w:val="clear" w:color="auto" w:fill="F5FAFF"/>
          <w:tblCellMar>
            <w:top w:w="15" w:type="dxa"/>
            <w:left w:w="15" w:type="dxa"/>
            <w:bottom w:w="15" w:type="dxa"/>
            <w:right w:w="15" w:type="dxa"/>
          </w:tblCellMar>
        </w:tblPrEx>
        <w:trPr>
          <w:trHeight w:val="675" w:hRule="atLeast"/>
          <w:jc w:val="center"/>
        </w:trPr>
        <w:tc>
          <w:tcPr>
            <w:tcW w:w="3180"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B股</w:t>
            </w:r>
          </w:p>
        </w:tc>
        <w:tc>
          <w:tcPr>
            <w:tcW w:w="6735"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不超过成交金额的0.3%，起点1美元（沪市）或5港元（深市）</w:t>
            </w:r>
          </w:p>
        </w:tc>
      </w:tr>
      <w:tr>
        <w:tblPrEx>
          <w:tblBorders>
            <w:top w:val="single" w:color="D6E5F2" w:sz="6" w:space="0"/>
            <w:left w:val="single" w:color="D6E5F2" w:sz="6" w:space="0"/>
            <w:bottom w:val="single" w:color="D6E5F2" w:sz="6" w:space="0"/>
            <w:right w:val="single" w:color="D6E5F2" w:sz="6" w:space="0"/>
            <w:insideH w:val="none" w:color="auto" w:sz="0" w:space="0"/>
            <w:insideV w:val="none" w:color="auto" w:sz="0" w:space="0"/>
          </w:tblBorders>
          <w:shd w:val="clear" w:color="auto" w:fill="F5FAFF"/>
          <w:tblCellMar>
            <w:top w:w="15" w:type="dxa"/>
            <w:left w:w="15" w:type="dxa"/>
            <w:bottom w:w="15" w:type="dxa"/>
            <w:right w:w="15" w:type="dxa"/>
          </w:tblCellMar>
        </w:tblPrEx>
        <w:trPr>
          <w:trHeight w:val="675" w:hRule="atLeast"/>
          <w:jc w:val="center"/>
        </w:trPr>
        <w:tc>
          <w:tcPr>
            <w:tcW w:w="3180"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新三板、北交所</w:t>
            </w:r>
          </w:p>
        </w:tc>
        <w:tc>
          <w:tcPr>
            <w:tcW w:w="6735"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不超过成交金额的0.15%</w:t>
            </w:r>
          </w:p>
        </w:tc>
      </w:tr>
      <w:tr>
        <w:tblPrEx>
          <w:tblBorders>
            <w:top w:val="single" w:color="D6E5F2" w:sz="6" w:space="0"/>
            <w:left w:val="single" w:color="D6E5F2" w:sz="6" w:space="0"/>
            <w:bottom w:val="single" w:color="D6E5F2" w:sz="6" w:space="0"/>
            <w:right w:val="single" w:color="D6E5F2" w:sz="6" w:space="0"/>
            <w:insideH w:val="none" w:color="auto" w:sz="0" w:space="0"/>
            <w:insideV w:val="none" w:color="auto" w:sz="0" w:space="0"/>
          </w:tblBorders>
          <w:shd w:val="clear" w:color="auto" w:fill="F5FAFF"/>
          <w:tblCellMar>
            <w:top w:w="15" w:type="dxa"/>
            <w:left w:w="15" w:type="dxa"/>
            <w:bottom w:w="15" w:type="dxa"/>
            <w:right w:w="15" w:type="dxa"/>
          </w:tblCellMar>
        </w:tblPrEx>
        <w:trPr>
          <w:trHeight w:val="675" w:hRule="atLeast"/>
          <w:jc w:val="center"/>
        </w:trPr>
        <w:tc>
          <w:tcPr>
            <w:tcW w:w="3180"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两网及退市股份</w:t>
            </w:r>
          </w:p>
        </w:tc>
        <w:tc>
          <w:tcPr>
            <w:tcW w:w="6735"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不超过成交金额的0.3%</w:t>
            </w:r>
          </w:p>
        </w:tc>
      </w:tr>
      <w:tr>
        <w:tblPrEx>
          <w:tblBorders>
            <w:top w:val="single" w:color="D6E5F2" w:sz="6" w:space="0"/>
            <w:left w:val="single" w:color="D6E5F2" w:sz="6" w:space="0"/>
            <w:bottom w:val="single" w:color="D6E5F2" w:sz="6" w:space="0"/>
            <w:right w:val="single" w:color="D6E5F2" w:sz="6" w:space="0"/>
            <w:insideH w:val="none" w:color="auto" w:sz="0" w:space="0"/>
            <w:insideV w:val="none" w:color="auto" w:sz="0" w:space="0"/>
          </w:tblBorders>
          <w:shd w:val="clear" w:color="auto" w:fill="F5FAFF"/>
          <w:tblCellMar>
            <w:top w:w="15" w:type="dxa"/>
            <w:left w:w="15" w:type="dxa"/>
            <w:bottom w:w="15" w:type="dxa"/>
            <w:right w:w="15" w:type="dxa"/>
          </w:tblCellMar>
        </w:tblPrEx>
        <w:trPr>
          <w:trHeight w:val="675" w:hRule="atLeast"/>
          <w:jc w:val="center"/>
        </w:trPr>
        <w:tc>
          <w:tcPr>
            <w:tcW w:w="3180"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港股通</w:t>
            </w:r>
          </w:p>
        </w:tc>
        <w:tc>
          <w:tcPr>
            <w:tcW w:w="6735"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参照A股标准执行，不包含港股通相关交易规费</w:t>
            </w:r>
          </w:p>
        </w:tc>
      </w:tr>
      <w:tr>
        <w:tblPrEx>
          <w:tblBorders>
            <w:top w:val="single" w:color="D6E5F2" w:sz="6" w:space="0"/>
            <w:left w:val="single" w:color="D6E5F2" w:sz="6" w:space="0"/>
            <w:bottom w:val="single" w:color="D6E5F2" w:sz="6" w:space="0"/>
            <w:right w:val="single" w:color="D6E5F2" w:sz="6" w:space="0"/>
            <w:insideH w:val="none" w:color="auto" w:sz="0" w:space="0"/>
            <w:insideV w:val="none" w:color="auto" w:sz="0" w:space="0"/>
          </w:tblBorders>
          <w:shd w:val="clear" w:color="auto" w:fill="F5FAFF"/>
          <w:tblCellMar>
            <w:top w:w="15" w:type="dxa"/>
            <w:left w:w="15" w:type="dxa"/>
            <w:bottom w:w="15" w:type="dxa"/>
            <w:right w:w="15" w:type="dxa"/>
          </w:tblCellMar>
        </w:tblPrEx>
        <w:trPr>
          <w:trHeight w:val="675" w:hRule="atLeast"/>
          <w:jc w:val="center"/>
        </w:trPr>
        <w:tc>
          <w:tcPr>
            <w:tcW w:w="3180"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证券投资基金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（封闭式基金、ETF、LOF基金）</w:t>
            </w:r>
          </w:p>
        </w:tc>
        <w:tc>
          <w:tcPr>
            <w:tcW w:w="6735"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不超过成交金额的0.3%，起点5元</w:t>
            </w:r>
          </w:p>
        </w:tc>
      </w:tr>
      <w:tr>
        <w:tblPrEx>
          <w:tblBorders>
            <w:top w:val="single" w:color="D6E5F2" w:sz="6" w:space="0"/>
            <w:left w:val="single" w:color="D6E5F2" w:sz="6" w:space="0"/>
            <w:bottom w:val="single" w:color="D6E5F2" w:sz="6" w:space="0"/>
            <w:right w:val="single" w:color="D6E5F2" w:sz="6" w:space="0"/>
            <w:insideH w:val="none" w:color="auto" w:sz="0" w:space="0"/>
            <w:insideV w:val="none" w:color="auto" w:sz="0" w:space="0"/>
          </w:tblBorders>
          <w:shd w:val="clear" w:color="auto" w:fill="F5FAFF"/>
          <w:tblCellMar>
            <w:top w:w="15" w:type="dxa"/>
            <w:left w:w="15" w:type="dxa"/>
            <w:bottom w:w="15" w:type="dxa"/>
            <w:right w:w="15" w:type="dxa"/>
          </w:tblCellMar>
        </w:tblPrEx>
        <w:trPr>
          <w:jc w:val="center"/>
        </w:trPr>
        <w:tc>
          <w:tcPr>
            <w:tcW w:w="3180"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开放式基金申购、赎回</w:t>
            </w:r>
          </w:p>
        </w:tc>
        <w:tc>
          <w:tcPr>
            <w:tcW w:w="6735"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具体见各家基金公司公告</w:t>
            </w:r>
          </w:p>
        </w:tc>
      </w:tr>
      <w:tr>
        <w:tblPrEx>
          <w:tblBorders>
            <w:top w:val="single" w:color="D6E5F2" w:sz="6" w:space="0"/>
            <w:left w:val="single" w:color="D6E5F2" w:sz="6" w:space="0"/>
            <w:bottom w:val="single" w:color="D6E5F2" w:sz="6" w:space="0"/>
            <w:right w:val="single" w:color="D6E5F2" w:sz="6" w:space="0"/>
            <w:insideH w:val="none" w:color="auto" w:sz="0" w:space="0"/>
            <w:insideV w:val="none" w:color="auto" w:sz="0" w:space="0"/>
          </w:tblBorders>
          <w:shd w:val="clear" w:color="auto" w:fill="F5FAFF"/>
          <w:tblCellMar>
            <w:top w:w="15" w:type="dxa"/>
            <w:left w:w="15" w:type="dxa"/>
            <w:bottom w:w="15" w:type="dxa"/>
            <w:right w:w="15" w:type="dxa"/>
          </w:tblCellMar>
        </w:tblPrEx>
        <w:trPr>
          <w:trHeight w:val="675" w:hRule="atLeast"/>
          <w:jc w:val="center"/>
        </w:trPr>
        <w:tc>
          <w:tcPr>
            <w:tcW w:w="3180"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ETF申购、赎回</w:t>
            </w:r>
          </w:p>
        </w:tc>
        <w:tc>
          <w:tcPr>
            <w:tcW w:w="6735"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不超过申购、赎回份额的0.5%</w:t>
            </w:r>
          </w:p>
        </w:tc>
      </w:tr>
      <w:tr>
        <w:tblPrEx>
          <w:tblBorders>
            <w:top w:val="single" w:color="D6E5F2" w:sz="6" w:space="0"/>
            <w:left w:val="single" w:color="D6E5F2" w:sz="6" w:space="0"/>
            <w:bottom w:val="single" w:color="D6E5F2" w:sz="6" w:space="0"/>
            <w:right w:val="single" w:color="D6E5F2" w:sz="6" w:space="0"/>
            <w:insideH w:val="none" w:color="auto" w:sz="0" w:space="0"/>
            <w:insideV w:val="none" w:color="auto" w:sz="0" w:space="0"/>
          </w:tblBorders>
          <w:shd w:val="clear" w:color="auto" w:fill="F5FAFF"/>
          <w:tblCellMar>
            <w:top w:w="15" w:type="dxa"/>
            <w:left w:w="15" w:type="dxa"/>
            <w:bottom w:w="15" w:type="dxa"/>
            <w:right w:w="15" w:type="dxa"/>
          </w:tblCellMar>
        </w:tblPrEx>
        <w:trPr>
          <w:jc w:val="center"/>
        </w:trPr>
        <w:tc>
          <w:tcPr>
            <w:tcW w:w="3180"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keepNext w:val="0"/>
              <w:keepLines w:val="0"/>
              <w:widowControl/>
              <w:suppressLineNumbers w:val="0"/>
              <w:jc w:val="center"/>
              <w:textAlignment w:val="center"/>
              <w:rPr>
                <w:rFonts w:ascii="PingFangSC-Regular" w:hAnsi="PingFangSC-Regular" w:eastAsia="PingFangSC-Regular" w:cs="PingFangSC-Regular"/>
                <w:i w:val="0"/>
                <w:iCs w:val="0"/>
                <w:caps w:val="0"/>
                <w:color w:val="333333"/>
                <w:spacing w:val="0"/>
                <w:sz w:val="27"/>
                <w:szCs w:val="27"/>
              </w:rPr>
            </w:pPr>
            <w:r>
              <w:rPr>
                <w:rFonts w:hint="default" w:ascii="PingFangSC-Regular" w:hAnsi="PingFangSC-Regular" w:eastAsia="PingFangSC-Regular" w:cs="PingFangSC-Regular"/>
                <w:i w:val="0"/>
                <w:iCs w:val="0"/>
                <w:caps w:val="0"/>
                <w:color w:val="333333"/>
                <w:spacing w:val="0"/>
                <w:kern w:val="0"/>
                <w:sz w:val="27"/>
                <w:szCs w:val="27"/>
                <w:lang w:val="en-US" w:eastAsia="zh-CN" w:bidi="ar"/>
              </w:rPr>
              <w:t>ETF期权</w:t>
            </w:r>
          </w:p>
        </w:tc>
        <w:tc>
          <w:tcPr>
            <w:tcW w:w="6735"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每张合约不超过10.1元/张，卖出开仓（含备兑开仓）暂不收取佣金</w:t>
            </w:r>
          </w:p>
        </w:tc>
      </w:tr>
      <w:tr>
        <w:tblPrEx>
          <w:tblBorders>
            <w:top w:val="single" w:color="D6E5F2" w:sz="6" w:space="0"/>
            <w:left w:val="single" w:color="D6E5F2" w:sz="6" w:space="0"/>
            <w:bottom w:val="single" w:color="D6E5F2" w:sz="6" w:space="0"/>
            <w:right w:val="single" w:color="D6E5F2" w:sz="6" w:space="0"/>
            <w:insideH w:val="none" w:color="auto" w:sz="0" w:space="0"/>
            <w:insideV w:val="none" w:color="auto" w:sz="0" w:space="0"/>
          </w:tblBorders>
          <w:shd w:val="clear" w:color="auto" w:fill="F5FAFF"/>
          <w:tblCellMar>
            <w:top w:w="15" w:type="dxa"/>
            <w:left w:w="15" w:type="dxa"/>
            <w:bottom w:w="15" w:type="dxa"/>
            <w:right w:w="15" w:type="dxa"/>
          </w:tblCellMar>
        </w:tblPrEx>
        <w:trPr>
          <w:jc w:val="center"/>
        </w:trPr>
        <w:tc>
          <w:tcPr>
            <w:tcW w:w="3180"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keepNext w:val="0"/>
              <w:keepLines w:val="0"/>
              <w:widowControl/>
              <w:suppressLineNumbers w:val="0"/>
              <w:jc w:val="center"/>
              <w:textAlignment w:val="center"/>
              <w:rPr>
                <w:rFonts w:hint="default" w:ascii="PingFangSC-Regular" w:hAnsi="PingFangSC-Regular" w:eastAsia="PingFangSC-Regular" w:cs="PingFangSC-Regular"/>
                <w:i w:val="0"/>
                <w:iCs w:val="0"/>
                <w:caps w:val="0"/>
                <w:color w:val="333333"/>
                <w:spacing w:val="0"/>
                <w:sz w:val="27"/>
                <w:szCs w:val="27"/>
              </w:rPr>
            </w:pPr>
            <w:r>
              <w:rPr>
                <w:rFonts w:hint="default" w:ascii="PingFangSC-Regular" w:hAnsi="PingFangSC-Regular" w:eastAsia="PingFangSC-Regular" w:cs="PingFangSC-Regular"/>
                <w:i w:val="0"/>
                <w:iCs w:val="0"/>
                <w:caps w:val="0"/>
                <w:color w:val="333333"/>
                <w:spacing w:val="0"/>
                <w:kern w:val="0"/>
                <w:sz w:val="27"/>
                <w:szCs w:val="27"/>
                <w:lang w:val="en-US" w:eastAsia="zh-CN" w:bidi="ar"/>
              </w:rPr>
              <w:t>债券(国债、企业债、公司债、资产支持证券等)</w:t>
            </w:r>
          </w:p>
        </w:tc>
        <w:tc>
          <w:tcPr>
            <w:tcW w:w="6735"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沪市：不超过成交金额的0.02%，起点1元；</w:t>
            </w:r>
            <w:r>
              <w:rPr>
                <w:rFonts w:hint="eastAsia" w:ascii="微软雅黑" w:hAnsi="微软雅黑" w:eastAsia="微软雅黑" w:cs="微软雅黑"/>
                <w:i w:val="0"/>
                <w:iCs w:val="0"/>
                <w:caps w:val="0"/>
                <w:color w:val="333333"/>
                <w:spacing w:val="12"/>
                <w:sz w:val="24"/>
                <w:szCs w:val="24"/>
              </w:rPr>
              <w:br w:type="textWrapping"/>
            </w:r>
            <w:r>
              <w:rPr>
                <w:rFonts w:hint="eastAsia" w:ascii="微软雅黑" w:hAnsi="微软雅黑" w:eastAsia="微软雅黑" w:cs="微软雅黑"/>
                <w:i w:val="0"/>
                <w:iCs w:val="0"/>
                <w:caps w:val="0"/>
                <w:color w:val="333333"/>
                <w:spacing w:val="12"/>
                <w:sz w:val="24"/>
                <w:szCs w:val="24"/>
              </w:rPr>
              <w:t>深市：不超过成交金额的0.02%</w:t>
            </w:r>
          </w:p>
        </w:tc>
      </w:tr>
      <w:tr>
        <w:tblPrEx>
          <w:tblBorders>
            <w:top w:val="single" w:color="D6E5F2" w:sz="6" w:space="0"/>
            <w:left w:val="single" w:color="D6E5F2" w:sz="6" w:space="0"/>
            <w:bottom w:val="single" w:color="D6E5F2" w:sz="6" w:space="0"/>
            <w:right w:val="single" w:color="D6E5F2" w:sz="6" w:space="0"/>
            <w:insideH w:val="none" w:color="auto" w:sz="0" w:space="0"/>
            <w:insideV w:val="none" w:color="auto" w:sz="0" w:space="0"/>
          </w:tblBorders>
          <w:shd w:val="clear" w:color="auto" w:fill="F5FAFF"/>
          <w:tblCellMar>
            <w:top w:w="15" w:type="dxa"/>
            <w:left w:w="15" w:type="dxa"/>
            <w:bottom w:w="15" w:type="dxa"/>
            <w:right w:w="15" w:type="dxa"/>
          </w:tblCellMar>
        </w:tblPrEx>
        <w:trPr>
          <w:trHeight w:val="675" w:hRule="atLeast"/>
          <w:jc w:val="center"/>
        </w:trPr>
        <w:tc>
          <w:tcPr>
            <w:tcW w:w="3180"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keepNext w:val="0"/>
              <w:keepLines w:val="0"/>
              <w:widowControl/>
              <w:suppressLineNumbers w:val="0"/>
              <w:jc w:val="center"/>
              <w:textAlignment w:val="center"/>
              <w:rPr>
                <w:rFonts w:hint="default" w:ascii="PingFangSC-Regular" w:hAnsi="PingFangSC-Regular" w:eastAsia="PingFangSC-Regular" w:cs="PingFangSC-Regular"/>
                <w:i w:val="0"/>
                <w:iCs w:val="0"/>
                <w:caps w:val="0"/>
                <w:color w:val="333333"/>
                <w:spacing w:val="0"/>
                <w:sz w:val="27"/>
                <w:szCs w:val="27"/>
              </w:rPr>
            </w:pPr>
            <w:r>
              <w:rPr>
                <w:rFonts w:hint="default" w:ascii="PingFangSC-Regular" w:hAnsi="PingFangSC-Regular" w:eastAsia="PingFangSC-Regular" w:cs="PingFangSC-Regular"/>
                <w:i w:val="0"/>
                <w:iCs w:val="0"/>
                <w:caps w:val="0"/>
                <w:color w:val="333333"/>
                <w:spacing w:val="0"/>
                <w:kern w:val="0"/>
                <w:sz w:val="27"/>
                <w:szCs w:val="27"/>
                <w:lang w:val="en-US" w:eastAsia="zh-CN" w:bidi="ar"/>
              </w:rPr>
              <w:t>可转换公司债券、分离交易可转换公司债券</w:t>
            </w:r>
          </w:p>
        </w:tc>
        <w:tc>
          <w:tcPr>
            <w:tcW w:w="6735"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沪市：不超过成交金额的0.02%，起点1元；</w:t>
            </w:r>
            <w:r>
              <w:rPr>
                <w:rFonts w:hint="eastAsia" w:ascii="微软雅黑" w:hAnsi="微软雅黑" w:eastAsia="微软雅黑" w:cs="微软雅黑"/>
                <w:i w:val="0"/>
                <w:iCs w:val="0"/>
                <w:caps w:val="0"/>
                <w:color w:val="333333"/>
                <w:spacing w:val="12"/>
                <w:sz w:val="24"/>
                <w:szCs w:val="24"/>
              </w:rPr>
              <w:br w:type="textWrapping"/>
            </w:r>
            <w:r>
              <w:rPr>
                <w:rFonts w:hint="eastAsia" w:ascii="微软雅黑" w:hAnsi="微软雅黑" w:eastAsia="微软雅黑" w:cs="微软雅黑"/>
                <w:i w:val="0"/>
                <w:iCs w:val="0"/>
                <w:caps w:val="0"/>
                <w:color w:val="333333"/>
                <w:spacing w:val="12"/>
                <w:sz w:val="24"/>
                <w:szCs w:val="24"/>
              </w:rPr>
              <w:t>深市：不超过成交金额的0.1%</w:t>
            </w:r>
          </w:p>
        </w:tc>
      </w:tr>
      <w:tr>
        <w:tblPrEx>
          <w:tblBorders>
            <w:top w:val="single" w:color="D6E5F2" w:sz="6" w:space="0"/>
            <w:left w:val="single" w:color="D6E5F2" w:sz="6" w:space="0"/>
            <w:bottom w:val="single" w:color="D6E5F2" w:sz="6" w:space="0"/>
            <w:right w:val="single" w:color="D6E5F2" w:sz="6" w:space="0"/>
            <w:insideH w:val="none" w:color="auto" w:sz="0" w:space="0"/>
            <w:insideV w:val="none" w:color="auto" w:sz="0" w:space="0"/>
          </w:tblBorders>
          <w:shd w:val="clear" w:color="auto" w:fill="F5FAFF"/>
          <w:tblCellMar>
            <w:top w:w="15" w:type="dxa"/>
            <w:left w:w="15" w:type="dxa"/>
            <w:bottom w:w="15" w:type="dxa"/>
            <w:right w:w="15" w:type="dxa"/>
          </w:tblCellMar>
        </w:tblPrEx>
        <w:trPr>
          <w:jc w:val="center"/>
        </w:trPr>
        <w:tc>
          <w:tcPr>
            <w:tcW w:w="3180"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keepNext w:val="0"/>
              <w:keepLines w:val="0"/>
              <w:widowControl/>
              <w:suppressLineNumbers w:val="0"/>
              <w:jc w:val="center"/>
              <w:textAlignment w:val="center"/>
              <w:rPr>
                <w:rFonts w:hint="default" w:ascii="PingFangSC-Regular" w:hAnsi="PingFangSC-Regular" w:eastAsia="PingFangSC-Regular" w:cs="PingFangSC-Regular"/>
                <w:i w:val="0"/>
                <w:iCs w:val="0"/>
                <w:caps w:val="0"/>
                <w:color w:val="333333"/>
                <w:spacing w:val="0"/>
                <w:sz w:val="27"/>
                <w:szCs w:val="27"/>
              </w:rPr>
            </w:pPr>
            <w:r>
              <w:rPr>
                <w:rFonts w:hint="default" w:ascii="PingFangSC-Regular" w:hAnsi="PingFangSC-Regular" w:eastAsia="PingFangSC-Regular" w:cs="PingFangSC-Regular"/>
                <w:i w:val="0"/>
                <w:iCs w:val="0"/>
                <w:caps w:val="0"/>
                <w:color w:val="333333"/>
                <w:spacing w:val="0"/>
                <w:kern w:val="0"/>
                <w:sz w:val="27"/>
                <w:szCs w:val="27"/>
                <w:lang w:val="en-US" w:eastAsia="zh-CN" w:bidi="ar"/>
              </w:rPr>
              <w:t>可交债换股</w:t>
            </w:r>
          </w:p>
        </w:tc>
        <w:tc>
          <w:tcPr>
            <w:tcW w:w="6735"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不超过成交金额的0.3%，起点5元</w:t>
            </w:r>
          </w:p>
        </w:tc>
      </w:tr>
      <w:tr>
        <w:tblPrEx>
          <w:tblBorders>
            <w:top w:val="single" w:color="D6E5F2" w:sz="6" w:space="0"/>
            <w:left w:val="single" w:color="D6E5F2" w:sz="6" w:space="0"/>
            <w:bottom w:val="single" w:color="D6E5F2" w:sz="6" w:space="0"/>
            <w:right w:val="single" w:color="D6E5F2"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180"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债券质押式回购</w:t>
            </w:r>
          </w:p>
        </w:tc>
        <w:tc>
          <w:tcPr>
            <w:tcW w:w="6735" w:type="dxa"/>
            <w:tcBorders>
              <w:top w:val="single" w:color="D6E5F2" w:sz="6" w:space="0"/>
              <w:left w:val="single" w:color="D6E5F2" w:sz="6" w:space="0"/>
              <w:bottom w:val="single" w:color="D6E5F2" w:sz="6" w:space="0"/>
              <w:right w:val="single" w:color="D6E5F2" w:sz="6" w:space="0"/>
            </w:tcBorders>
            <w:shd w:val="clear" w:color="auto" w:fill="F5FAFF"/>
            <w:tcMar>
              <w:top w:w="150" w:type="dxa"/>
              <w:left w:w="120" w:type="dxa"/>
              <w:bottom w:w="15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color w:val="333333"/>
                <w:spacing w:val="12"/>
                <w:sz w:val="24"/>
                <w:szCs w:val="24"/>
              </w:rPr>
            </w:pPr>
            <w:r>
              <w:rPr>
                <w:rFonts w:hint="eastAsia" w:ascii="微软雅黑" w:hAnsi="微软雅黑" w:eastAsia="微软雅黑" w:cs="微软雅黑"/>
                <w:i w:val="0"/>
                <w:iCs w:val="0"/>
                <w:caps w:val="0"/>
                <w:color w:val="333333"/>
                <w:spacing w:val="12"/>
                <w:sz w:val="24"/>
                <w:szCs w:val="24"/>
              </w:rPr>
              <w:t>1天期正、逆回购按不超过成交价额的0.001%收取</w:t>
            </w:r>
            <w:r>
              <w:rPr>
                <w:rFonts w:hint="eastAsia" w:ascii="微软雅黑" w:hAnsi="微软雅黑" w:eastAsia="微软雅黑" w:cs="微软雅黑"/>
                <w:i w:val="0"/>
                <w:iCs w:val="0"/>
                <w:caps w:val="0"/>
                <w:color w:val="333333"/>
                <w:spacing w:val="12"/>
                <w:sz w:val="24"/>
                <w:szCs w:val="24"/>
              </w:rPr>
              <w:br w:type="textWrapping"/>
            </w:r>
            <w:r>
              <w:rPr>
                <w:rFonts w:hint="eastAsia" w:ascii="微软雅黑" w:hAnsi="微软雅黑" w:eastAsia="微软雅黑" w:cs="微软雅黑"/>
                <w:i w:val="0"/>
                <w:iCs w:val="0"/>
                <w:caps w:val="0"/>
                <w:color w:val="333333"/>
                <w:spacing w:val="12"/>
                <w:sz w:val="24"/>
                <w:szCs w:val="24"/>
              </w:rPr>
              <w:t>2天期正、逆回购按不超过成交价额的0.002%收取</w:t>
            </w:r>
            <w:r>
              <w:rPr>
                <w:rFonts w:hint="eastAsia" w:ascii="微软雅黑" w:hAnsi="微软雅黑" w:eastAsia="微软雅黑" w:cs="微软雅黑"/>
                <w:i w:val="0"/>
                <w:iCs w:val="0"/>
                <w:caps w:val="0"/>
                <w:color w:val="333333"/>
                <w:spacing w:val="12"/>
                <w:sz w:val="24"/>
                <w:szCs w:val="24"/>
              </w:rPr>
              <w:br w:type="textWrapping"/>
            </w:r>
            <w:r>
              <w:rPr>
                <w:rFonts w:hint="eastAsia" w:ascii="微软雅黑" w:hAnsi="微软雅黑" w:eastAsia="微软雅黑" w:cs="微软雅黑"/>
                <w:i w:val="0"/>
                <w:iCs w:val="0"/>
                <w:caps w:val="0"/>
                <w:color w:val="333333"/>
                <w:spacing w:val="12"/>
                <w:sz w:val="24"/>
                <w:szCs w:val="24"/>
              </w:rPr>
              <w:t>3天期正、逆回购按不超过成交价额的0.003%收取</w:t>
            </w:r>
            <w:r>
              <w:rPr>
                <w:rFonts w:hint="eastAsia" w:ascii="微软雅黑" w:hAnsi="微软雅黑" w:eastAsia="微软雅黑" w:cs="微软雅黑"/>
                <w:i w:val="0"/>
                <w:iCs w:val="0"/>
                <w:caps w:val="0"/>
                <w:color w:val="333333"/>
                <w:spacing w:val="12"/>
                <w:sz w:val="24"/>
                <w:szCs w:val="24"/>
              </w:rPr>
              <w:br w:type="textWrapping"/>
            </w:r>
            <w:r>
              <w:rPr>
                <w:rFonts w:hint="eastAsia" w:ascii="微软雅黑" w:hAnsi="微软雅黑" w:eastAsia="微软雅黑" w:cs="微软雅黑"/>
                <w:i w:val="0"/>
                <w:iCs w:val="0"/>
                <w:caps w:val="0"/>
                <w:color w:val="333333"/>
                <w:spacing w:val="12"/>
                <w:sz w:val="24"/>
                <w:szCs w:val="24"/>
              </w:rPr>
              <w:t>4天期正、逆回购按不超过成交价额的0.004%收取</w:t>
            </w:r>
            <w:r>
              <w:rPr>
                <w:rFonts w:hint="eastAsia" w:ascii="微软雅黑" w:hAnsi="微软雅黑" w:eastAsia="微软雅黑" w:cs="微软雅黑"/>
                <w:i w:val="0"/>
                <w:iCs w:val="0"/>
                <w:caps w:val="0"/>
                <w:color w:val="333333"/>
                <w:spacing w:val="12"/>
                <w:sz w:val="24"/>
                <w:szCs w:val="24"/>
              </w:rPr>
              <w:br w:type="textWrapping"/>
            </w:r>
            <w:r>
              <w:rPr>
                <w:rFonts w:hint="eastAsia" w:ascii="微软雅黑" w:hAnsi="微软雅黑" w:eastAsia="微软雅黑" w:cs="微软雅黑"/>
                <w:i w:val="0"/>
                <w:iCs w:val="0"/>
                <w:caps w:val="0"/>
                <w:color w:val="333333"/>
                <w:spacing w:val="12"/>
                <w:sz w:val="24"/>
                <w:szCs w:val="24"/>
              </w:rPr>
              <w:t>7天期正、逆回购按不超过成交价额的0.005%收取</w:t>
            </w:r>
            <w:r>
              <w:rPr>
                <w:rFonts w:hint="eastAsia" w:ascii="微软雅黑" w:hAnsi="微软雅黑" w:eastAsia="微软雅黑" w:cs="微软雅黑"/>
                <w:i w:val="0"/>
                <w:iCs w:val="0"/>
                <w:caps w:val="0"/>
                <w:color w:val="333333"/>
                <w:spacing w:val="12"/>
                <w:sz w:val="24"/>
                <w:szCs w:val="24"/>
              </w:rPr>
              <w:br w:type="textWrapping"/>
            </w:r>
            <w:r>
              <w:rPr>
                <w:rFonts w:hint="eastAsia" w:ascii="微软雅黑" w:hAnsi="微软雅黑" w:eastAsia="微软雅黑" w:cs="微软雅黑"/>
                <w:i w:val="0"/>
                <w:iCs w:val="0"/>
                <w:caps w:val="0"/>
                <w:color w:val="333333"/>
                <w:spacing w:val="12"/>
                <w:sz w:val="24"/>
                <w:szCs w:val="24"/>
              </w:rPr>
              <w:t>14天期正、逆回购按不超过成交价额的0.01%收取</w:t>
            </w:r>
            <w:r>
              <w:rPr>
                <w:rFonts w:hint="eastAsia" w:ascii="微软雅黑" w:hAnsi="微软雅黑" w:eastAsia="微软雅黑" w:cs="微软雅黑"/>
                <w:i w:val="0"/>
                <w:iCs w:val="0"/>
                <w:caps w:val="0"/>
                <w:color w:val="333333"/>
                <w:spacing w:val="12"/>
                <w:sz w:val="24"/>
                <w:szCs w:val="24"/>
              </w:rPr>
              <w:br w:type="textWrapping"/>
            </w:r>
            <w:r>
              <w:rPr>
                <w:rFonts w:hint="eastAsia" w:ascii="微软雅黑" w:hAnsi="微软雅黑" w:eastAsia="微软雅黑" w:cs="微软雅黑"/>
                <w:i w:val="0"/>
                <w:iCs w:val="0"/>
                <w:caps w:val="0"/>
                <w:color w:val="333333"/>
                <w:spacing w:val="12"/>
                <w:sz w:val="24"/>
                <w:szCs w:val="24"/>
              </w:rPr>
              <w:t>28天期正、逆回购按不超过成交价额的0.02%收取</w:t>
            </w:r>
            <w:r>
              <w:rPr>
                <w:rFonts w:hint="eastAsia" w:ascii="微软雅黑" w:hAnsi="微软雅黑" w:eastAsia="微软雅黑" w:cs="微软雅黑"/>
                <w:i w:val="0"/>
                <w:iCs w:val="0"/>
                <w:caps w:val="0"/>
                <w:color w:val="333333"/>
                <w:spacing w:val="12"/>
                <w:sz w:val="24"/>
                <w:szCs w:val="24"/>
              </w:rPr>
              <w:br w:type="textWrapping"/>
            </w:r>
            <w:r>
              <w:rPr>
                <w:rFonts w:hint="eastAsia" w:ascii="微软雅黑" w:hAnsi="微软雅黑" w:eastAsia="微软雅黑" w:cs="微软雅黑"/>
                <w:i w:val="0"/>
                <w:iCs w:val="0"/>
                <w:caps w:val="0"/>
                <w:color w:val="333333"/>
                <w:spacing w:val="12"/>
                <w:sz w:val="24"/>
                <w:szCs w:val="24"/>
              </w:rPr>
              <w:t>91天期正、逆回购按不超过成交价额的0.03%收取</w:t>
            </w:r>
            <w:r>
              <w:rPr>
                <w:rFonts w:hint="eastAsia" w:ascii="微软雅黑" w:hAnsi="微软雅黑" w:eastAsia="微软雅黑" w:cs="微软雅黑"/>
                <w:i w:val="0"/>
                <w:iCs w:val="0"/>
                <w:caps w:val="0"/>
                <w:color w:val="333333"/>
                <w:spacing w:val="12"/>
                <w:sz w:val="24"/>
                <w:szCs w:val="24"/>
              </w:rPr>
              <w:br w:type="textWrapping"/>
            </w:r>
            <w:r>
              <w:rPr>
                <w:rFonts w:hint="eastAsia" w:ascii="微软雅黑" w:hAnsi="微软雅黑" w:eastAsia="微软雅黑" w:cs="微软雅黑"/>
                <w:i w:val="0"/>
                <w:iCs w:val="0"/>
                <w:caps w:val="0"/>
                <w:color w:val="333333"/>
                <w:spacing w:val="12"/>
                <w:sz w:val="24"/>
                <w:szCs w:val="24"/>
              </w:rPr>
              <w:t>182天期正、逆回购按不超过成交价额的0.03%收取</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i w:val="0"/>
          <w:iCs w:val="0"/>
          <w:caps w:val="0"/>
          <w:color w:val="333333"/>
          <w:spacing w:val="12"/>
          <w:sz w:val="27"/>
          <w:szCs w:val="27"/>
        </w:rPr>
      </w:pPr>
      <w:r>
        <w:rPr>
          <w:rFonts w:hint="eastAsia" w:ascii="微软雅黑" w:hAnsi="微软雅黑" w:eastAsia="微软雅黑" w:cs="微软雅黑"/>
          <w:i w:val="0"/>
          <w:iCs w:val="0"/>
          <w:caps w:val="0"/>
          <w:color w:val="333333"/>
          <w:spacing w:val="12"/>
          <w:sz w:val="27"/>
          <w:szCs w:val="27"/>
        </w:rPr>
        <w:t>重要提示：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i w:val="0"/>
          <w:iCs w:val="0"/>
          <w:caps w:val="0"/>
          <w:color w:val="333333"/>
          <w:spacing w:val="12"/>
          <w:sz w:val="27"/>
          <w:szCs w:val="27"/>
        </w:rPr>
      </w:pPr>
      <w:r>
        <w:rPr>
          <w:rFonts w:hint="eastAsia" w:ascii="微软雅黑" w:hAnsi="微软雅黑" w:eastAsia="微软雅黑" w:cs="微软雅黑"/>
          <w:i w:val="0"/>
          <w:iCs w:val="0"/>
          <w:caps w:val="0"/>
          <w:color w:val="333333"/>
          <w:spacing w:val="12"/>
          <w:sz w:val="27"/>
          <w:szCs w:val="27"/>
        </w:rPr>
        <w:t>1.上述佣金收取标准包含经手费、证管费、结算费、证券结算风险基金及深圳市场过户费，不向投资者单独收取。印花税、上海市场过户费等由投资者承担，其中，印花税向出让方单独收取，上海市场过户费向买卖双方单独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i w:val="0"/>
          <w:iCs w:val="0"/>
          <w:caps w:val="0"/>
          <w:color w:val="333333"/>
          <w:spacing w:val="12"/>
          <w:sz w:val="27"/>
          <w:szCs w:val="27"/>
        </w:rPr>
      </w:pPr>
      <w:r>
        <w:rPr>
          <w:rFonts w:hint="eastAsia" w:ascii="微软雅黑" w:hAnsi="微软雅黑" w:eastAsia="微软雅黑" w:cs="微软雅黑"/>
          <w:i w:val="0"/>
          <w:iCs w:val="0"/>
          <w:caps w:val="0"/>
          <w:color w:val="333333"/>
          <w:spacing w:val="12"/>
          <w:sz w:val="27"/>
          <w:szCs w:val="27"/>
        </w:rPr>
        <w:t>2.上述佣金收取标准为公司向投资者收取的佣金上限，即默认佣金。投资者实际产生的证券交易佣金按照所申请并调整设置后的佣金费率收取，未申请调整的证券品种将按照默认佣金收取，详情咨询开户营业部。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i w:val="0"/>
          <w:iCs w:val="0"/>
          <w:caps w:val="0"/>
          <w:color w:val="333333"/>
          <w:spacing w:val="12"/>
          <w:sz w:val="27"/>
          <w:szCs w:val="27"/>
        </w:rPr>
      </w:pPr>
      <w:r>
        <w:rPr>
          <w:rFonts w:hint="eastAsia" w:ascii="微软雅黑" w:hAnsi="微软雅黑" w:eastAsia="微软雅黑" w:cs="微软雅黑"/>
          <w:i w:val="0"/>
          <w:iCs w:val="0"/>
          <w:caps w:val="0"/>
          <w:color w:val="333333"/>
          <w:spacing w:val="12"/>
          <w:sz w:val="27"/>
          <w:szCs w:val="27"/>
        </w:rPr>
        <w:t>3.其他品种证券交易佣金收费标准严格遵守证监会、证券业协会、交易所及登记结算公司的相关规定，按照与投资者协商约定的佣金费率收取，不低于证券交易服务成本。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firstLine="420"/>
        <w:jc w:val="both"/>
        <w:rPr>
          <w:rFonts w:hint="eastAsia" w:ascii="微软雅黑" w:hAnsi="微软雅黑" w:eastAsia="微软雅黑" w:cs="微软雅黑"/>
          <w:i w:val="0"/>
          <w:iCs w:val="0"/>
          <w:caps w:val="0"/>
          <w:color w:val="333333"/>
          <w:spacing w:val="12"/>
          <w:sz w:val="27"/>
          <w:szCs w:val="27"/>
        </w:rPr>
      </w:pPr>
      <w:r>
        <w:rPr>
          <w:rFonts w:hint="eastAsia" w:ascii="微软雅黑" w:hAnsi="微软雅黑" w:eastAsia="微软雅黑" w:cs="微软雅黑"/>
          <w:i w:val="0"/>
          <w:iCs w:val="0"/>
          <w:caps w:val="0"/>
          <w:color w:val="333333"/>
          <w:spacing w:val="12"/>
          <w:sz w:val="27"/>
          <w:szCs w:val="27"/>
        </w:rPr>
        <w:t>4.如交易所、登记结算公司等行业有规定的收费标准发生变更，公司将同时变更代收标准。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12F7C"/>
    <w:rsid w:val="4ECD42E4"/>
    <w:rsid w:val="58CA0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john</cp:lastModifiedBy>
  <dcterms:modified xsi:type="dcterms:W3CDTF">2023-08-26T06:42:05Z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75F34594F04B43C1BD953D0A08D5E3F2</vt:lpwstr>
  </property>
</Properties>
</file>