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证券交易佣金收取标准公示</w:t>
      </w:r>
    </w:p>
    <w:p>
      <w:pPr>
        <w:rPr>
          <w:rFonts w:hint="eastAsia"/>
        </w:rPr>
      </w:pPr>
      <w:r>
        <w:rPr>
          <w:rFonts w:hint="eastAsia"/>
        </w:rPr>
        <w:t> </w:t>
      </w:r>
    </w:p>
    <w:p>
      <w:pPr>
        <w:rPr>
          <w:rFonts w:hint="eastAsia"/>
          <w:sz w:val="28"/>
          <w:szCs w:val="28"/>
        </w:rPr>
      </w:pPr>
      <w:r>
        <w:rPr>
          <w:rFonts w:hint="eastAsia"/>
          <w:sz w:val="28"/>
          <w:szCs w:val="28"/>
        </w:rPr>
        <w:t>尊敬的投资者：</w:t>
      </w:r>
    </w:p>
    <w:p>
      <w:pPr>
        <w:ind w:firstLine="560" w:firstLineChars="200"/>
        <w:rPr>
          <w:rFonts w:hint="eastAsia"/>
          <w:sz w:val="28"/>
          <w:szCs w:val="28"/>
        </w:rPr>
      </w:pPr>
      <w:r>
        <w:rPr>
          <w:rFonts w:hint="eastAsia"/>
          <w:sz w:val="28"/>
          <w:szCs w:val="28"/>
        </w:rPr>
        <w:t>根据证券监管机构关于投资者服务和佣金管理的有关规定，现将公司证券交易佣金收费标准及交易所证券登记结算业务收费及代收税费告知如下。</w:t>
      </w:r>
    </w:p>
    <w:p>
      <w:pPr>
        <w:ind w:firstLine="560" w:firstLineChars="200"/>
        <w:rPr>
          <w:rFonts w:hint="eastAsia"/>
          <w:sz w:val="28"/>
          <w:szCs w:val="28"/>
        </w:rPr>
      </w:pPr>
      <w:r>
        <w:rPr>
          <w:rFonts w:hint="eastAsia"/>
          <w:sz w:val="28"/>
          <w:szCs w:val="28"/>
        </w:rPr>
        <w:t>一、近期税费政策</w:t>
      </w:r>
    </w:p>
    <w:p>
      <w:pPr>
        <w:ind w:firstLine="560" w:firstLineChars="200"/>
        <w:rPr>
          <w:rFonts w:hint="eastAsia"/>
          <w:sz w:val="28"/>
          <w:szCs w:val="28"/>
        </w:rPr>
      </w:pPr>
      <w:r>
        <w:rPr>
          <w:rFonts w:hint="eastAsia"/>
          <w:sz w:val="28"/>
          <w:szCs w:val="28"/>
        </w:rPr>
        <w:t>1.经手费及佣金下调：自2023年8月28日起，沪、深、北交易所下调股票交易经手费，公司对存量投资者同步下调交易佣金。其中，沪深交易所A股、B股、存托凭证品种的交易佣金，将在投资者原有佣金基础上统一下调0.00146%；沪深A股、沪市B股大宗交易佣金将在投资者原有佣金基础上统一下调0.001022%，深市B股大宗交易将在投资者原有佣金基础上统一下调0.00073%；北交所普通股、优先股交易佣金将在投资者原有佣金基础上统一下调0.0125%。</w:t>
      </w:r>
    </w:p>
    <w:p>
      <w:pPr>
        <w:ind w:firstLine="560" w:firstLineChars="200"/>
        <w:rPr>
          <w:rFonts w:hint="eastAsia"/>
          <w:sz w:val="28"/>
          <w:szCs w:val="28"/>
        </w:rPr>
      </w:pPr>
      <w:r>
        <w:rPr>
          <w:rFonts w:hint="eastAsia"/>
          <w:sz w:val="28"/>
          <w:szCs w:val="28"/>
        </w:rPr>
        <w:t>2.印花税下调：根据财政部、税务总局公告，自2023年8月28日起，证券交易印花税实施减半征收。我公司将同步按上述标准执行。</w:t>
      </w:r>
    </w:p>
    <w:p>
      <w:pPr>
        <w:ind w:firstLine="560" w:firstLineChars="200"/>
        <w:rPr>
          <w:rFonts w:hint="eastAsia"/>
          <w:sz w:val="28"/>
          <w:szCs w:val="28"/>
        </w:rPr>
      </w:pPr>
      <w:bookmarkStart w:id="0" w:name="_GoBack"/>
      <w:bookmarkEnd w:id="0"/>
      <w:r>
        <w:rPr>
          <w:rFonts w:hint="eastAsia"/>
          <w:sz w:val="28"/>
          <w:szCs w:val="28"/>
        </w:rPr>
        <w:t>二、海通证券股份有限公司证券交易佣金收取标准</w:t>
      </w:r>
    </w:p>
    <w:tbl>
      <w:tblPr>
        <w:tblW w:w="58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13"/>
        <w:gridCol w:w="6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005BAC"/>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FFFFFF"/>
                <w:spacing w:val="12"/>
                <w:kern w:val="0"/>
                <w:sz w:val="24"/>
                <w:szCs w:val="24"/>
                <w:bdr w:val="none" w:color="auto" w:sz="0" w:space="0"/>
                <w:lang w:val="en-US" w:eastAsia="zh-CN" w:bidi="ar"/>
              </w:rPr>
              <w:t>业务类别</w:t>
            </w:r>
          </w:p>
        </w:tc>
        <w:tc>
          <w:tcPr>
            <w:tcW w:w="3210" w:type="pct"/>
            <w:tcBorders>
              <w:top w:val="single" w:color="DDD9C3" w:sz="6" w:space="0"/>
              <w:left w:val="nil"/>
              <w:bottom w:val="single" w:color="DDD9C3" w:sz="6" w:space="0"/>
              <w:right w:val="single" w:color="DDD9C3" w:sz="6" w:space="0"/>
            </w:tcBorders>
            <w:shd w:val="clear" w:color="auto" w:fill="005BAC"/>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FFFFFF"/>
                <w:spacing w:val="12"/>
                <w:kern w:val="0"/>
                <w:sz w:val="24"/>
                <w:szCs w:val="24"/>
                <w:bdr w:val="none" w:color="auto" w:sz="0" w:space="0"/>
                <w:lang w:val="en-US" w:eastAsia="zh-CN" w:bidi="ar"/>
              </w:rPr>
              <w:t>佣金收取标准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A股、优先股</w:t>
            </w:r>
          </w:p>
        </w:tc>
        <w:tc>
          <w:tcPr>
            <w:tcW w:w="3210" w:type="pct"/>
            <w:tcBorders>
              <w:top w:val="single" w:color="DDD9C3" w:sz="6" w:space="0"/>
              <w:left w:val="nil"/>
              <w:bottom w:val="single" w:color="DDD9C3" w:sz="6" w:space="0"/>
              <w:right w:val="single" w:color="DDD9C3" w:sz="6" w:space="0"/>
            </w:tcBorders>
            <w:shd w:val="clear" w:color="auto" w:fill="F7F7F7"/>
            <w:vAlign w:val="center"/>
          </w:tcPr>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，起点</w:t>
            </w:r>
            <w:r>
              <w:rPr>
                <w:rFonts w:hint="default" w:ascii="Arial" w:hAnsi="Arial" w:eastAsia="微软雅黑" w:cs="Arial"/>
                <w:i w:val="0"/>
                <w:iCs w:val="0"/>
                <w:caps w:val="0"/>
                <w:color w:val="333333"/>
                <w:spacing w:val="12"/>
                <w:kern w:val="0"/>
                <w:sz w:val="24"/>
                <w:szCs w:val="24"/>
                <w:bdr w:val="none" w:color="auto" w:sz="0" w:space="0"/>
                <w:lang w:val="en-US" w:eastAsia="zh-CN" w:bidi="ar"/>
              </w:rPr>
              <w:t>5</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B股</w:t>
            </w:r>
          </w:p>
        </w:tc>
        <w:tc>
          <w:tcPr>
            <w:tcW w:w="3210" w:type="pct"/>
            <w:tcBorders>
              <w:top w:val="single" w:color="DDD9C3" w:sz="6" w:space="0"/>
              <w:left w:val="nil"/>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，起点</w:t>
            </w:r>
            <w:r>
              <w:rPr>
                <w:rFonts w:hint="default" w:ascii="Arial" w:hAnsi="Arial" w:eastAsia="微软雅黑" w:cs="Arial"/>
                <w:i w:val="0"/>
                <w:iCs w:val="0"/>
                <w:caps w:val="0"/>
                <w:color w:val="333333"/>
                <w:spacing w:val="12"/>
                <w:kern w:val="0"/>
                <w:sz w:val="24"/>
                <w:szCs w:val="24"/>
                <w:bdr w:val="none" w:color="auto" w:sz="0" w:space="0"/>
                <w:lang w:val="en-US" w:eastAsia="zh-CN" w:bidi="ar"/>
              </w:rPr>
              <w:t>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美元（沪市）或</w:t>
            </w:r>
            <w:r>
              <w:rPr>
                <w:rFonts w:hint="default" w:ascii="Arial" w:hAnsi="Arial" w:eastAsia="微软雅黑" w:cs="Arial"/>
                <w:i w:val="0"/>
                <w:iCs w:val="0"/>
                <w:caps w:val="0"/>
                <w:color w:val="333333"/>
                <w:spacing w:val="12"/>
                <w:kern w:val="0"/>
                <w:sz w:val="24"/>
                <w:szCs w:val="24"/>
                <w:bdr w:val="none" w:color="auto" w:sz="0" w:space="0"/>
                <w:lang w:val="en-US" w:eastAsia="zh-CN" w:bidi="ar"/>
              </w:rPr>
              <w:t>5</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港元（深市）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000000"/>
                <w:spacing w:val="0"/>
                <w:kern w:val="2"/>
                <w:sz w:val="27"/>
                <w:szCs w:val="27"/>
                <w:bdr w:val="none" w:color="auto" w:sz="0" w:space="0"/>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新三板、北交所</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两网及退市股份</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港股通</w:t>
            </w:r>
          </w:p>
        </w:tc>
        <w:tc>
          <w:tcPr>
            <w:tcW w:w="3210" w:type="pct"/>
            <w:tcBorders>
              <w:top w:val="single" w:color="DDD9C3" w:sz="6" w:space="0"/>
              <w:left w:val="nil"/>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参照</w:t>
            </w:r>
            <w:r>
              <w:rPr>
                <w:rFonts w:hint="default" w:ascii="Arial" w:hAnsi="Arial" w:eastAsia="微软雅黑" w:cs="Arial"/>
                <w:i w:val="0"/>
                <w:iCs w:val="0"/>
                <w:caps w:val="0"/>
                <w:color w:val="333333"/>
                <w:spacing w:val="12"/>
                <w:kern w:val="0"/>
                <w:sz w:val="24"/>
                <w:szCs w:val="24"/>
                <w:bdr w:val="none" w:color="auto" w:sz="0" w:space="0"/>
                <w:lang w:val="en-US" w:eastAsia="zh-CN" w:bidi="ar"/>
              </w:rPr>
              <w:t>A</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股标准执行，不包含港股通相关交易规费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证券投资基金</w:t>
            </w:r>
          </w:p>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（封闭式基金、</w:t>
            </w:r>
            <w:r>
              <w:rPr>
                <w:rFonts w:hint="eastAsia" w:ascii="宋体" w:hAnsi="宋体" w:eastAsia="宋体" w:cs="宋体"/>
                <w:i w:val="0"/>
                <w:iCs w:val="0"/>
                <w:caps w:val="0"/>
                <w:color w:val="333333"/>
                <w:spacing w:val="12"/>
                <w:kern w:val="0"/>
                <w:sz w:val="24"/>
                <w:szCs w:val="24"/>
                <w:bdr w:val="none" w:color="auto" w:sz="0" w:space="0"/>
                <w:lang w:val="en-US" w:eastAsia="zh-CN" w:bidi="ar"/>
              </w:rPr>
              <w:t>ETF、LOF基金）</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，起点</w:t>
            </w:r>
            <w:r>
              <w:rPr>
                <w:rFonts w:hint="default" w:ascii="Arial" w:hAnsi="Arial" w:eastAsia="微软雅黑" w:cs="Arial"/>
                <w:i w:val="0"/>
                <w:iCs w:val="0"/>
                <w:caps w:val="0"/>
                <w:color w:val="333333"/>
                <w:spacing w:val="12"/>
                <w:kern w:val="0"/>
                <w:sz w:val="24"/>
                <w:szCs w:val="24"/>
                <w:bdr w:val="none" w:color="auto" w:sz="0" w:space="0"/>
                <w:lang w:val="en-US" w:eastAsia="zh-CN" w:bidi="ar"/>
              </w:rPr>
              <w:t>5</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开放式基金申购、赎回</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具体见各家基金公司公告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ETF申购、赎回</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不超过申购、赎回份额的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ETF期权</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每张合约不超过</w:t>
            </w:r>
            <w:r>
              <w:rPr>
                <w:rFonts w:hint="default" w:ascii="Arial" w:hAnsi="Arial" w:eastAsia="微软雅黑" w:cs="Arial"/>
                <w:i w:val="0"/>
                <w:iCs w:val="0"/>
                <w:caps w:val="0"/>
                <w:color w:val="333333"/>
                <w:spacing w:val="12"/>
                <w:kern w:val="0"/>
                <w:sz w:val="24"/>
                <w:szCs w:val="24"/>
                <w:bdr w:val="none" w:color="auto" w:sz="0" w:space="0"/>
                <w:lang w:val="en-US" w:eastAsia="zh-CN" w:bidi="ar"/>
              </w:rPr>
              <w:t>10.1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元</w:t>
            </w:r>
            <w:r>
              <w:rPr>
                <w:rFonts w:hint="default" w:ascii="Arial" w:hAnsi="Arial" w:eastAsia="微软雅黑" w:cs="Arial"/>
                <w:i w:val="0"/>
                <w:iCs w:val="0"/>
                <w:caps w:val="0"/>
                <w:color w:val="333333"/>
                <w:spacing w:val="12"/>
                <w:kern w:val="0"/>
                <w:sz w:val="24"/>
                <w:szCs w:val="24"/>
                <w:bdr w:val="none" w:color="auto" w:sz="0" w:space="0"/>
                <w:lang w:val="en-US" w:eastAsia="zh-CN" w:bidi="ar"/>
              </w:rPr>
              <w:t>/</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张，卖出开仓（含备兑开仓）暂不收取佣金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债券</w:t>
            </w:r>
            <w:r>
              <w:rPr>
                <w:rFonts w:hint="default" w:ascii="Arial" w:hAnsi="Arial" w:eastAsia="微软雅黑" w:cs="Arial"/>
                <w:i w:val="0"/>
                <w:iCs w:val="0"/>
                <w:caps w:val="0"/>
                <w:color w:val="333333"/>
                <w:spacing w:val="12"/>
                <w:kern w:val="0"/>
                <w:sz w:val="24"/>
                <w:szCs w:val="24"/>
                <w:bdr w:val="none" w:color="auto" w:sz="0" w:space="0"/>
                <w:lang w:val="en-US" w:eastAsia="zh-CN" w:bidi="ar"/>
              </w:rPr>
              <w:t>(</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国债、企业债、公司债、资产支持证券等</w:t>
            </w:r>
            <w:r>
              <w:rPr>
                <w:rFonts w:hint="default" w:ascii="Arial" w:hAnsi="Arial" w:eastAsia="微软雅黑" w:cs="Arial"/>
                <w:i w:val="0"/>
                <w:iCs w:val="0"/>
                <w:caps w:val="0"/>
                <w:color w:val="333333"/>
                <w:spacing w:val="12"/>
                <w:kern w:val="0"/>
                <w:sz w:val="24"/>
                <w:szCs w:val="24"/>
                <w:bdr w:val="none" w:color="auto" w:sz="0" w:space="0"/>
                <w:lang w:val="en-US" w:eastAsia="zh-CN" w:bidi="ar"/>
              </w:rPr>
              <w:t>)</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沪市：不超过成交金额的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0.02%</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，起点</w:t>
            </w:r>
            <w:r>
              <w:rPr>
                <w:rFonts w:hint="default" w:ascii="Arial" w:hAnsi="Arial" w:eastAsia="微软雅黑" w:cs="Arial"/>
                <w:i w:val="0"/>
                <w:iCs w:val="0"/>
                <w:caps w:val="0"/>
                <w:color w:val="333333"/>
                <w:spacing w:val="12"/>
                <w:kern w:val="0"/>
                <w:sz w:val="24"/>
                <w:szCs w:val="24"/>
                <w:bdr w:val="none" w:color="auto" w:sz="0" w:space="0"/>
                <w:lang w:val="en-US" w:eastAsia="zh-CN" w:bidi="ar"/>
              </w:rPr>
              <w:t>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元；</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深市：不超过成交金额的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可转换公司债券、分离交易可转换公司债券</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沪市：不超过成交金额的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0.02%</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，起点</w:t>
            </w:r>
            <w:r>
              <w:rPr>
                <w:rFonts w:hint="default" w:ascii="Arial" w:hAnsi="Arial" w:eastAsia="微软雅黑" w:cs="Arial"/>
                <w:i w:val="0"/>
                <w:iCs w:val="0"/>
                <w:caps w:val="0"/>
                <w:color w:val="333333"/>
                <w:spacing w:val="12"/>
                <w:kern w:val="0"/>
                <w:sz w:val="24"/>
                <w:szCs w:val="24"/>
                <w:bdr w:val="none" w:color="auto" w:sz="0" w:space="0"/>
                <w:lang w:val="en-US" w:eastAsia="zh-CN" w:bidi="ar"/>
              </w:rPr>
              <w:t>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元；</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深市：不超过成交金额的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可交债换股</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不超过成交金额的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，起点</w:t>
            </w:r>
            <w:r>
              <w:rPr>
                <w:rFonts w:hint="default" w:ascii="Arial" w:hAnsi="Arial" w:eastAsia="微软雅黑" w:cs="Arial"/>
                <w:i w:val="0"/>
                <w:iCs w:val="0"/>
                <w:caps w:val="0"/>
                <w:color w:val="333333"/>
                <w:spacing w:val="12"/>
                <w:kern w:val="0"/>
                <w:sz w:val="24"/>
                <w:szCs w:val="24"/>
                <w:bdr w:val="none" w:color="auto" w:sz="0" w:space="0"/>
                <w:lang w:val="en-US" w:eastAsia="zh-CN" w:bidi="ar"/>
              </w:rPr>
              <w:t>5</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债券质押式回购</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line="315" w:lineRule="atLeast"/>
              <w:ind w:left="0" w:right="0"/>
              <w:jc w:val="center"/>
              <w:rPr>
                <w:rFonts w:hint="eastAsia" w:ascii="微软雅黑" w:hAnsi="微软雅黑" w:eastAsia="微软雅黑" w:cs="微软雅黑"/>
                <w:color w:val="333333"/>
                <w:spacing w:val="12"/>
                <w:kern w:val="0"/>
                <w:sz w:val="24"/>
                <w:szCs w:val="24"/>
                <w:bdr w:val="none" w:color="auto" w:sz="0" w:space="0"/>
              </w:rPr>
            </w:pPr>
            <w:r>
              <w:rPr>
                <w:rFonts w:hint="default" w:ascii="Arial" w:hAnsi="Arial" w:eastAsia="微软雅黑" w:cs="Arial"/>
                <w:i w:val="0"/>
                <w:iCs w:val="0"/>
                <w:caps w:val="0"/>
                <w:color w:val="333333"/>
                <w:spacing w:val="12"/>
                <w:kern w:val="0"/>
                <w:sz w:val="24"/>
                <w:szCs w:val="24"/>
                <w:bdr w:val="none" w:color="auto" w:sz="0" w:space="0"/>
                <w:lang w:val="en-US" w:eastAsia="zh-CN" w:bidi="ar"/>
              </w:rPr>
              <w:t>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0.001%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2</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0.002%</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4</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0.004%</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7</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0.005%</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14</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28</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0.02%</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91</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r>
              <w:rPr>
                <w:rFonts w:hint="default" w:ascii="Arial" w:hAnsi="Arial" w:eastAsia="微软雅黑" w:cs="Arial"/>
                <w:i w:val="0"/>
                <w:iCs w:val="0"/>
                <w:caps w:val="0"/>
                <w:color w:val="333333"/>
                <w:spacing w:val="12"/>
                <w:kern w:val="0"/>
                <w:sz w:val="24"/>
                <w:szCs w:val="24"/>
                <w:bdr w:val="none" w:color="auto" w:sz="0" w:space="0"/>
                <w:lang w:val="en-US" w:eastAsia="zh-CN" w:bidi="ar"/>
              </w:rPr>
              <w:br w:type="textWrapping"/>
            </w:r>
            <w:r>
              <w:rPr>
                <w:rFonts w:hint="default" w:ascii="Arial" w:hAnsi="Arial" w:eastAsia="微软雅黑" w:cs="Arial"/>
                <w:i w:val="0"/>
                <w:iCs w:val="0"/>
                <w:caps w:val="0"/>
                <w:color w:val="333333"/>
                <w:spacing w:val="12"/>
                <w:kern w:val="0"/>
                <w:sz w:val="24"/>
                <w:szCs w:val="24"/>
                <w:bdr w:val="none" w:color="auto" w:sz="0" w:space="0"/>
                <w:lang w:val="en-US" w:eastAsia="zh-CN" w:bidi="ar"/>
              </w:rPr>
              <w:t>182</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bdr w:val="none" w:color="auto" w:sz="0" w:space="0"/>
                <w:lang w:val="en-US" w:eastAsia="zh-CN" w:bidi="ar"/>
              </w:rPr>
              <w:t>0.03%</w:t>
            </w:r>
            <w:r>
              <w:rPr>
                <w:rFonts w:hint="eastAsia" w:ascii="微软雅黑" w:hAnsi="微软雅黑" w:eastAsia="微软雅黑" w:cs="微软雅黑"/>
                <w:i w:val="0"/>
                <w:iCs w:val="0"/>
                <w:caps w:val="0"/>
                <w:color w:val="333333"/>
                <w:spacing w:val="12"/>
                <w:kern w:val="0"/>
                <w:sz w:val="24"/>
                <w:szCs w:val="24"/>
                <w:bdr w:val="none" w:color="auto" w:sz="0" w:space="0"/>
                <w:lang w:val="en-US" w:eastAsia="zh-CN" w:bidi="ar"/>
              </w:rPr>
              <w:t>收取</w:t>
            </w:r>
          </w:p>
        </w:tc>
      </w:tr>
    </w:tbl>
    <w:p>
      <w:pPr>
        <w:rPr>
          <w:rFonts w:hint="eastAsia"/>
        </w:rPr>
      </w:pPr>
    </w:p>
    <w:p>
      <w:pPr>
        <w:ind w:firstLine="560" w:firstLineChars="200"/>
        <w:rPr>
          <w:rFonts w:hint="eastAsia"/>
          <w:sz w:val="28"/>
          <w:szCs w:val="28"/>
        </w:rPr>
      </w:pPr>
      <w:r>
        <w:rPr>
          <w:rFonts w:hint="eastAsia"/>
          <w:sz w:val="28"/>
          <w:szCs w:val="28"/>
        </w:rPr>
        <w:t>重要提示：</w:t>
      </w:r>
    </w:p>
    <w:p>
      <w:pPr>
        <w:ind w:firstLine="560" w:firstLineChars="200"/>
        <w:rPr>
          <w:rFonts w:hint="eastAsia"/>
          <w:sz w:val="28"/>
          <w:szCs w:val="28"/>
        </w:rPr>
      </w:pPr>
      <w:r>
        <w:rPr>
          <w:rFonts w:hint="eastAsia"/>
          <w:sz w:val="28"/>
          <w:szCs w:val="28"/>
        </w:rPr>
        <w:t>1.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ind w:firstLine="560" w:firstLineChars="200"/>
        <w:rPr>
          <w:rFonts w:hint="eastAsia"/>
          <w:sz w:val="28"/>
          <w:szCs w:val="28"/>
        </w:rPr>
      </w:pPr>
      <w:r>
        <w:rPr>
          <w:rFonts w:hint="eastAsia"/>
          <w:sz w:val="28"/>
          <w:szCs w:val="28"/>
        </w:rPr>
        <w:t>2.上述佣金收取标准为公司向投资者收取的佣金上限，即默认佣金。投资者实际产生的证券交易佣金按照所申请并调整设置后的佣金费率收取，未申请调整的证券品种将按照默认佣金收取，详情咨询开户营业部。</w:t>
      </w:r>
    </w:p>
    <w:p>
      <w:pPr>
        <w:ind w:firstLine="560" w:firstLineChars="200"/>
        <w:rPr>
          <w:rFonts w:hint="eastAsia"/>
          <w:sz w:val="28"/>
          <w:szCs w:val="28"/>
        </w:rPr>
      </w:pPr>
      <w:r>
        <w:rPr>
          <w:rFonts w:hint="eastAsia"/>
          <w:sz w:val="28"/>
          <w:szCs w:val="28"/>
        </w:rPr>
        <w:t>3.其他品种证券交易佣金收费标准严格遵守证监会、证券业协会、交易所及登记结算公司的相关规定，按照与投资者协商约定的佣金费率收取，不低于证券交易服务成本。</w:t>
      </w:r>
    </w:p>
    <w:p>
      <w:pPr>
        <w:ind w:firstLine="560" w:firstLineChars="200"/>
        <w:rPr>
          <w:rFonts w:hint="eastAsia"/>
          <w:sz w:val="28"/>
          <w:szCs w:val="28"/>
        </w:rPr>
      </w:pPr>
      <w:r>
        <w:rPr>
          <w:rFonts w:hint="eastAsia"/>
          <w:sz w:val="28"/>
          <w:szCs w:val="28"/>
        </w:rPr>
        <w:t>4.如交易所、登记结算公司等行业有规定的收费标准发生变更，公司将同时变更代收标准。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71ACE"/>
    <w:rsid w:val="4E571ACE"/>
    <w:rsid w:val="7A91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2023-08-28T01:40:00Z</dcterms:created>
  <dc:creator>admin</dc:creator>
  <cp:lastModifiedBy>admin</cp:lastModifiedBy>
  <dcterms:modified xsi:type="dcterms:W3CDTF">2023-08-28T01:45:53Z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385A5E547882456BA38908447DE7F8AA</vt:lpwstr>
  </property>
</Properties>
</file>