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91" w:line="221" w:lineRule="auto"/>
        <w:ind w:left="392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北京市场证券登记结</w:t>
      </w:r>
      <w:r>
        <w:rPr>
          <w:rFonts w:ascii="宋体" w:hAnsi="宋体" w:eastAsia="宋体" w:cs="宋体"/>
          <w:sz w:val="28"/>
          <w:szCs w:val="28"/>
          <w14:textOutline w14:w="5103" w14:cap="sq" w14:cmpd="sng">
            <w14:solidFill>
              <w14:srgbClr w14:val="000000"/>
            </w14:solidFill>
            <w14:prstDash w14:val="solid"/>
            <w14:bevel/>
          </w14:textOutline>
        </w:rPr>
        <w:t>算业务收费及代收税费一览表</w:t>
      </w:r>
    </w:p>
    <w:p>
      <w:pPr>
        <w:spacing w:before="183" w:line="231" w:lineRule="auto"/>
        <w:ind w:left="5957"/>
        <w:rPr>
          <w:rFonts w:ascii="宋体" w:hAnsi="宋体" w:eastAsia="宋体" w:cs="宋体"/>
          <w:sz w:val="17"/>
          <w:szCs w:val="17"/>
        </w:rPr>
      </w:pPr>
      <w:bookmarkStart w:id="0" w:name="_GoBack"/>
      <w:bookmarkEnd w:id="0"/>
      <w:r>
        <w:rPr>
          <w:rFonts w:ascii="宋体" w:hAnsi="宋体" w:eastAsia="宋体" w:cs="宋体"/>
          <w:spacing w:val="-2"/>
          <w:sz w:val="17"/>
          <w:szCs w:val="17"/>
        </w:rPr>
        <w:t>(2023 年 8 月 28 日更新)</w:t>
      </w:r>
    </w:p>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75" w:line="220" w:lineRule="auto"/>
        <w:ind w:left="33"/>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发</w:t>
      </w:r>
      <w:r>
        <w:rPr>
          <w:rFonts w:ascii="宋体" w:hAnsi="宋体" w:eastAsia="宋体" w:cs="宋体"/>
          <w:spacing w:val="8"/>
          <w:sz w:val="23"/>
          <w:szCs w:val="23"/>
          <w14:textOutline w14:w="4358" w14:cap="sq" w14:cmpd="sng">
            <w14:solidFill>
              <w14:srgbClr w14:val="000000"/>
            </w14:solidFill>
            <w14:prstDash w14:val="solid"/>
            <w14:bevel/>
          </w14:textOutline>
        </w:rPr>
        <w:t>行人业务收费</w:t>
      </w:r>
    </w:p>
    <w:tbl>
      <w:tblPr>
        <w:tblStyle w:val="4"/>
        <w:tblW w:w="14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2692"/>
        <w:gridCol w:w="8217"/>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994" w:type="dxa"/>
            <w:vAlign w:val="top"/>
          </w:tcPr>
          <w:p>
            <w:pPr>
              <w:spacing w:before="170" w:line="231" w:lineRule="auto"/>
              <w:ind w:left="647"/>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费项目</w:t>
            </w:r>
          </w:p>
        </w:tc>
        <w:tc>
          <w:tcPr>
            <w:tcW w:w="2692" w:type="dxa"/>
            <w:vAlign w:val="top"/>
          </w:tcPr>
          <w:p>
            <w:pPr>
              <w:spacing w:before="170" w:line="232" w:lineRule="auto"/>
              <w:ind w:left="98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证券品</w:t>
            </w:r>
            <w:r>
              <w:rPr>
                <w:rFonts w:ascii="宋体" w:hAnsi="宋体" w:eastAsia="宋体" w:cs="宋体"/>
                <w:spacing w:val="8"/>
                <w:sz w:val="17"/>
                <w:szCs w:val="17"/>
                <w14:textOutline w14:w="3268" w14:cap="sq" w14:cmpd="sng">
                  <w14:solidFill>
                    <w14:srgbClr w14:val="000000"/>
                  </w14:solidFill>
                  <w14:prstDash w14:val="solid"/>
                  <w14:bevel/>
                </w14:textOutline>
              </w:rPr>
              <w:t>种</w:t>
            </w:r>
          </w:p>
        </w:tc>
        <w:tc>
          <w:tcPr>
            <w:tcW w:w="8217" w:type="dxa"/>
            <w:vAlign w:val="top"/>
          </w:tcPr>
          <w:p>
            <w:pPr>
              <w:spacing w:before="170" w:line="231" w:lineRule="auto"/>
              <w:ind w:left="375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费标准</w:t>
            </w:r>
          </w:p>
        </w:tc>
        <w:tc>
          <w:tcPr>
            <w:tcW w:w="1631" w:type="dxa"/>
            <w:vAlign w:val="top"/>
          </w:tcPr>
          <w:p>
            <w:pPr>
              <w:spacing w:before="170" w:line="231" w:lineRule="auto"/>
              <w:ind w:left="46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232" w:lineRule="auto"/>
              <w:ind w:left="552"/>
              <w:rPr>
                <w:rFonts w:ascii="宋体" w:hAnsi="宋体" w:eastAsia="宋体" w:cs="宋体"/>
                <w:sz w:val="17"/>
                <w:szCs w:val="17"/>
              </w:rPr>
            </w:pPr>
            <w:r>
              <w:rPr>
                <w:rFonts w:ascii="宋体" w:hAnsi="宋体" w:eastAsia="宋体" w:cs="宋体"/>
                <w:spacing w:val="10"/>
                <w:sz w:val="17"/>
                <w:szCs w:val="17"/>
              </w:rPr>
              <w:t>证</w:t>
            </w:r>
            <w:r>
              <w:rPr>
                <w:rFonts w:ascii="宋体" w:hAnsi="宋体" w:eastAsia="宋体" w:cs="宋体"/>
                <w:spacing w:val="8"/>
                <w:sz w:val="17"/>
                <w:szCs w:val="17"/>
              </w:rPr>
              <w:t>券登记费</w:t>
            </w:r>
          </w:p>
        </w:tc>
        <w:tc>
          <w:tcPr>
            <w:tcW w:w="2692" w:type="dxa"/>
            <w:vAlign w:val="top"/>
          </w:tcPr>
          <w:p>
            <w:pPr>
              <w:spacing w:before="69" w:line="233" w:lineRule="auto"/>
              <w:ind w:left="1185"/>
              <w:rPr>
                <w:rFonts w:ascii="宋体" w:hAnsi="宋体" w:eastAsia="宋体" w:cs="宋体"/>
                <w:sz w:val="17"/>
                <w:szCs w:val="17"/>
              </w:rPr>
            </w:pPr>
            <w:r>
              <w:rPr>
                <w:rFonts w:ascii="宋体" w:hAnsi="宋体" w:eastAsia="宋体" w:cs="宋体"/>
                <w:spacing w:val="-8"/>
                <w:sz w:val="17"/>
                <w:szCs w:val="17"/>
              </w:rPr>
              <w:t>A</w:t>
            </w:r>
            <w:r>
              <w:rPr>
                <w:rFonts w:ascii="宋体" w:hAnsi="宋体" w:eastAsia="宋体" w:cs="宋体"/>
                <w:spacing w:val="-9"/>
                <w:sz w:val="17"/>
                <w:szCs w:val="17"/>
              </w:rPr>
              <w:t xml:space="preserve"> </w:t>
            </w:r>
            <w:r>
              <w:rPr>
                <w:rFonts w:ascii="宋体" w:hAnsi="宋体" w:eastAsia="宋体" w:cs="宋体"/>
                <w:spacing w:val="-8"/>
                <w:sz w:val="17"/>
                <w:szCs w:val="17"/>
              </w:rPr>
              <w:t>股</w:t>
            </w:r>
          </w:p>
        </w:tc>
        <w:tc>
          <w:tcPr>
            <w:tcW w:w="8217" w:type="dxa"/>
            <w:vMerge w:val="restart"/>
            <w:tcBorders>
              <w:bottom w:val="nil"/>
            </w:tcBorders>
            <w:vAlign w:val="top"/>
          </w:tcPr>
          <w:p>
            <w:pPr>
              <w:spacing w:line="338" w:lineRule="auto"/>
              <w:rPr>
                <w:rFonts w:ascii="Arial"/>
                <w:sz w:val="21"/>
              </w:rPr>
            </w:pPr>
          </w:p>
          <w:p>
            <w:pPr>
              <w:spacing w:before="55" w:line="230" w:lineRule="auto"/>
              <w:ind w:left="113"/>
              <w:rPr>
                <w:rFonts w:ascii="宋体" w:hAnsi="宋体" w:eastAsia="宋体" w:cs="宋体"/>
                <w:sz w:val="17"/>
                <w:szCs w:val="17"/>
              </w:rPr>
            </w:pPr>
            <w:r>
              <w:rPr>
                <w:rFonts w:ascii="宋体" w:hAnsi="宋体" w:eastAsia="宋体" w:cs="宋体"/>
                <w:spacing w:val="10"/>
                <w:sz w:val="17"/>
                <w:szCs w:val="17"/>
              </w:rPr>
              <w:t>按</w:t>
            </w:r>
            <w:r>
              <w:rPr>
                <w:rFonts w:ascii="宋体" w:hAnsi="宋体" w:eastAsia="宋体" w:cs="宋体"/>
                <w:spacing w:val="5"/>
                <w:sz w:val="17"/>
                <w:szCs w:val="17"/>
              </w:rPr>
              <w:t>所登记的股本面值的 0.1‰收取。</w:t>
            </w:r>
          </w:p>
        </w:tc>
        <w:tc>
          <w:tcPr>
            <w:tcW w:w="1631"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232" w:lineRule="auto"/>
              <w:ind w:left="55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continue"/>
            <w:tcBorders>
              <w:top w:val="nil"/>
              <w:bottom w:val="nil"/>
            </w:tcBorders>
            <w:vAlign w:val="top"/>
          </w:tcPr>
          <w:p>
            <w:pPr>
              <w:rPr>
                <w:rFonts w:ascii="Arial"/>
                <w:sz w:val="21"/>
              </w:rPr>
            </w:pPr>
          </w:p>
        </w:tc>
        <w:tc>
          <w:tcPr>
            <w:tcW w:w="2692" w:type="dxa"/>
            <w:vAlign w:val="top"/>
          </w:tcPr>
          <w:p>
            <w:pPr>
              <w:spacing w:before="68" w:line="231" w:lineRule="auto"/>
              <w:ind w:left="810"/>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8217" w:type="dxa"/>
            <w:vMerge w:val="continue"/>
            <w:tcBorders>
              <w:top w:val="nil"/>
              <w:bottom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continue"/>
            <w:tcBorders>
              <w:top w:val="nil"/>
              <w:bottom w:val="nil"/>
            </w:tcBorders>
            <w:vAlign w:val="top"/>
          </w:tcPr>
          <w:p>
            <w:pPr>
              <w:rPr>
                <w:rFonts w:ascii="Arial"/>
                <w:sz w:val="21"/>
              </w:rPr>
            </w:pPr>
          </w:p>
        </w:tc>
        <w:tc>
          <w:tcPr>
            <w:tcW w:w="2692" w:type="dxa"/>
            <w:vAlign w:val="top"/>
          </w:tcPr>
          <w:p>
            <w:pPr>
              <w:spacing w:before="70" w:line="231" w:lineRule="auto"/>
              <w:ind w:left="1077"/>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8217" w:type="dxa"/>
            <w:vMerge w:val="continue"/>
            <w:tcBorders>
              <w:top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994" w:type="dxa"/>
            <w:vMerge w:val="continue"/>
            <w:tcBorders>
              <w:top w:val="nil"/>
              <w:bottom w:val="nil"/>
            </w:tcBorders>
            <w:vAlign w:val="top"/>
          </w:tcPr>
          <w:p>
            <w:pPr>
              <w:rPr>
                <w:rFonts w:ascii="Arial"/>
                <w:sz w:val="21"/>
              </w:rPr>
            </w:pPr>
          </w:p>
        </w:tc>
        <w:tc>
          <w:tcPr>
            <w:tcW w:w="2692" w:type="dxa"/>
            <w:vAlign w:val="top"/>
          </w:tcPr>
          <w:p>
            <w:pPr>
              <w:spacing w:line="316" w:lineRule="auto"/>
              <w:rPr>
                <w:rFonts w:ascii="Arial"/>
                <w:sz w:val="21"/>
              </w:rPr>
            </w:pPr>
          </w:p>
          <w:p>
            <w:pPr>
              <w:spacing w:line="316" w:lineRule="auto"/>
              <w:rPr>
                <w:rFonts w:ascii="Arial"/>
                <w:sz w:val="21"/>
              </w:rPr>
            </w:pPr>
          </w:p>
          <w:p>
            <w:pPr>
              <w:spacing w:before="55" w:line="231" w:lineRule="auto"/>
              <w:ind w:left="719"/>
              <w:rPr>
                <w:rFonts w:ascii="宋体" w:hAnsi="宋体" w:eastAsia="宋体" w:cs="宋体"/>
                <w:sz w:val="17"/>
                <w:szCs w:val="17"/>
              </w:rPr>
            </w:pPr>
            <w:r>
              <w:rPr>
                <w:rFonts w:ascii="宋体" w:hAnsi="宋体" w:eastAsia="宋体" w:cs="宋体"/>
                <w:spacing w:val="13"/>
                <w:sz w:val="17"/>
                <w:szCs w:val="17"/>
              </w:rPr>
              <w:t>可</w:t>
            </w:r>
            <w:r>
              <w:rPr>
                <w:rFonts w:ascii="宋体" w:hAnsi="宋体" w:eastAsia="宋体" w:cs="宋体"/>
                <w:spacing w:val="8"/>
                <w:sz w:val="17"/>
                <w:szCs w:val="17"/>
              </w:rPr>
              <w:t>转换公司债券</w:t>
            </w:r>
          </w:p>
        </w:tc>
        <w:tc>
          <w:tcPr>
            <w:tcW w:w="8217" w:type="dxa"/>
            <w:vAlign w:val="top"/>
          </w:tcPr>
          <w:p>
            <w:pPr>
              <w:spacing w:before="67" w:line="312" w:lineRule="exact"/>
              <w:ind w:left="113"/>
              <w:rPr>
                <w:rFonts w:ascii="宋体" w:hAnsi="宋体" w:eastAsia="宋体" w:cs="宋体"/>
                <w:sz w:val="17"/>
                <w:szCs w:val="17"/>
              </w:rPr>
            </w:pPr>
            <w:r>
              <w:rPr>
                <w:rFonts w:ascii="宋体" w:hAnsi="宋体" w:eastAsia="宋体" w:cs="宋体"/>
                <w:spacing w:val="4"/>
                <w:position w:val="10"/>
                <w:sz w:val="17"/>
                <w:szCs w:val="17"/>
              </w:rPr>
              <w:t>期</w:t>
            </w:r>
            <w:r>
              <w:rPr>
                <w:rFonts w:ascii="宋体" w:hAnsi="宋体" w:eastAsia="宋体" w:cs="宋体"/>
                <w:spacing w:val="2"/>
                <w:position w:val="10"/>
                <w:sz w:val="17"/>
                <w:szCs w:val="17"/>
              </w:rPr>
              <w:t>限 1 年 (含) 以下，登记债券面额 0.01‰；</w:t>
            </w:r>
          </w:p>
          <w:p>
            <w:pPr>
              <w:spacing w:line="230" w:lineRule="auto"/>
              <w:ind w:left="113"/>
              <w:rPr>
                <w:rFonts w:ascii="宋体" w:hAnsi="宋体" w:eastAsia="宋体" w:cs="宋体"/>
                <w:sz w:val="17"/>
                <w:szCs w:val="17"/>
              </w:rPr>
            </w:pPr>
            <w:r>
              <w:rPr>
                <w:rFonts w:ascii="宋体" w:hAnsi="宋体" w:eastAsia="宋体" w:cs="宋体"/>
                <w:spacing w:val="1"/>
                <w:sz w:val="17"/>
                <w:szCs w:val="17"/>
              </w:rPr>
              <w:t>期限 1 年-5 年</w:t>
            </w:r>
            <w:r>
              <w:rPr>
                <w:rFonts w:ascii="宋体" w:hAnsi="宋体" w:eastAsia="宋体" w:cs="宋体"/>
                <w:sz w:val="17"/>
                <w:szCs w:val="17"/>
              </w:rPr>
              <w:t xml:space="preserve"> (含)，登记债券面额 0.02‰；</w:t>
            </w:r>
          </w:p>
          <w:p>
            <w:pPr>
              <w:spacing w:before="99" w:line="231" w:lineRule="auto"/>
              <w:ind w:left="113"/>
              <w:rPr>
                <w:rFonts w:ascii="宋体" w:hAnsi="宋体" w:eastAsia="宋体" w:cs="宋体"/>
                <w:sz w:val="17"/>
                <w:szCs w:val="17"/>
              </w:rPr>
            </w:pPr>
            <w:r>
              <w:rPr>
                <w:rFonts w:ascii="宋体" w:hAnsi="宋体" w:eastAsia="宋体" w:cs="宋体"/>
                <w:spacing w:val="1"/>
                <w:sz w:val="17"/>
                <w:szCs w:val="17"/>
              </w:rPr>
              <w:t>期限 5 年-10 年 (含</w:t>
            </w:r>
            <w:r>
              <w:rPr>
                <w:rFonts w:ascii="宋体" w:hAnsi="宋体" w:eastAsia="宋体" w:cs="宋体"/>
                <w:sz w:val="17"/>
                <w:szCs w:val="17"/>
              </w:rPr>
              <w:t>)，登记债券面额 0.05‰；</w:t>
            </w:r>
          </w:p>
          <w:p>
            <w:pPr>
              <w:spacing w:before="99" w:line="231" w:lineRule="auto"/>
              <w:ind w:left="113"/>
              <w:rPr>
                <w:rFonts w:ascii="宋体" w:hAnsi="宋体" w:eastAsia="宋体" w:cs="宋体"/>
                <w:sz w:val="17"/>
                <w:szCs w:val="17"/>
              </w:rPr>
            </w:pPr>
            <w:r>
              <w:rPr>
                <w:rFonts w:ascii="宋体" w:hAnsi="宋体" w:eastAsia="宋体" w:cs="宋体"/>
                <w:spacing w:val="2"/>
                <w:sz w:val="17"/>
                <w:szCs w:val="17"/>
              </w:rPr>
              <w:t>期限 10 年</w:t>
            </w:r>
            <w:r>
              <w:rPr>
                <w:rFonts w:ascii="宋体" w:hAnsi="宋体" w:eastAsia="宋体" w:cs="宋体"/>
                <w:spacing w:val="1"/>
                <w:sz w:val="17"/>
                <w:szCs w:val="17"/>
              </w:rPr>
              <w:t>以上，登记债券面额 0.06‰。</w:t>
            </w:r>
          </w:p>
          <w:p>
            <w:pPr>
              <w:spacing w:before="99" w:line="235" w:lineRule="auto"/>
              <w:ind w:left="111"/>
              <w:rPr>
                <w:rFonts w:ascii="宋体" w:hAnsi="宋体" w:eastAsia="宋体" w:cs="宋体"/>
                <w:sz w:val="17"/>
                <w:szCs w:val="17"/>
              </w:rPr>
            </w:pPr>
            <w:r>
              <w:rPr>
                <w:rFonts w:ascii="宋体" w:hAnsi="宋体" w:eastAsia="宋体" w:cs="宋体"/>
                <w:spacing w:val="9"/>
                <w:sz w:val="17"/>
                <w:szCs w:val="17"/>
              </w:rPr>
              <w:t>注：退市板块可转换公司债券免收</w:t>
            </w:r>
            <w:r>
              <w:rPr>
                <w:rFonts w:ascii="宋体" w:hAnsi="宋体" w:eastAsia="宋体" w:cs="宋体"/>
                <w:spacing w:val="7"/>
                <w:sz w:val="17"/>
                <w:szCs w:val="17"/>
              </w:rPr>
              <w:t>。</w:t>
            </w: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994" w:type="dxa"/>
            <w:vMerge w:val="continue"/>
            <w:tcBorders>
              <w:top w:val="nil"/>
            </w:tcBorders>
            <w:vAlign w:val="top"/>
          </w:tcPr>
          <w:p>
            <w:pPr>
              <w:rPr>
                <w:rFonts w:ascii="Arial"/>
                <w:sz w:val="21"/>
              </w:rPr>
            </w:pPr>
          </w:p>
        </w:tc>
        <w:tc>
          <w:tcPr>
            <w:tcW w:w="2692" w:type="dxa"/>
            <w:vAlign w:val="top"/>
          </w:tcPr>
          <w:p>
            <w:pPr>
              <w:spacing w:line="478" w:lineRule="auto"/>
              <w:rPr>
                <w:rFonts w:ascii="Arial"/>
                <w:sz w:val="21"/>
              </w:rPr>
            </w:pPr>
          </w:p>
          <w:p>
            <w:pPr>
              <w:spacing w:before="56" w:line="231" w:lineRule="auto"/>
              <w:ind w:left="449"/>
              <w:rPr>
                <w:rFonts w:ascii="宋体" w:hAnsi="宋体" w:eastAsia="宋体" w:cs="宋体"/>
                <w:sz w:val="17"/>
                <w:szCs w:val="17"/>
              </w:rPr>
            </w:pPr>
            <w:r>
              <w:rPr>
                <w:rFonts w:ascii="宋体" w:hAnsi="宋体" w:eastAsia="宋体" w:cs="宋体"/>
                <w:spacing w:val="11"/>
                <w:sz w:val="17"/>
                <w:szCs w:val="17"/>
              </w:rPr>
              <w:t>股</w:t>
            </w:r>
            <w:r>
              <w:rPr>
                <w:rFonts w:ascii="宋体" w:hAnsi="宋体" w:eastAsia="宋体" w:cs="宋体"/>
                <w:spacing w:val="9"/>
                <w:sz w:val="17"/>
                <w:szCs w:val="17"/>
              </w:rPr>
              <w:t>权激励计划授予期权</w:t>
            </w:r>
          </w:p>
        </w:tc>
        <w:tc>
          <w:tcPr>
            <w:tcW w:w="8217" w:type="dxa"/>
            <w:vAlign w:val="top"/>
          </w:tcPr>
          <w:p>
            <w:pPr>
              <w:spacing w:before="68" w:line="231" w:lineRule="auto"/>
              <w:ind w:left="118"/>
              <w:rPr>
                <w:rFonts w:ascii="宋体" w:hAnsi="宋体" w:eastAsia="宋体" w:cs="宋体"/>
                <w:sz w:val="17"/>
                <w:szCs w:val="17"/>
              </w:rPr>
            </w:pPr>
            <w:r>
              <w:rPr>
                <w:rFonts w:ascii="宋体" w:hAnsi="宋体" w:eastAsia="宋体" w:cs="宋体"/>
                <w:spacing w:val="11"/>
                <w:sz w:val="17"/>
                <w:szCs w:val="17"/>
              </w:rPr>
              <w:t>收</w:t>
            </w:r>
            <w:r>
              <w:rPr>
                <w:rFonts w:ascii="宋体" w:hAnsi="宋体" w:eastAsia="宋体" w:cs="宋体"/>
                <w:spacing w:val="9"/>
                <w:sz w:val="17"/>
                <w:szCs w:val="17"/>
              </w:rPr>
              <w:t>费标准参照权证登记服务费的标准执行，计算方式如下：</w:t>
            </w:r>
          </w:p>
          <w:p>
            <w:pPr>
              <w:spacing w:before="99" w:line="231" w:lineRule="auto"/>
              <w:ind w:left="111"/>
              <w:rPr>
                <w:rFonts w:ascii="宋体" w:hAnsi="宋体" w:eastAsia="宋体" w:cs="宋体"/>
                <w:sz w:val="17"/>
                <w:szCs w:val="17"/>
              </w:rPr>
            </w:pPr>
            <w:r>
              <w:rPr>
                <w:rFonts w:ascii="宋体" w:hAnsi="宋体" w:eastAsia="宋体" w:cs="宋体"/>
                <w:spacing w:val="5"/>
                <w:sz w:val="17"/>
                <w:szCs w:val="17"/>
              </w:rPr>
              <w:t>股票期权存续时间 (月) ×发行份额数 (千万) × 1000 (元/月千万份)</w:t>
            </w:r>
            <w:r>
              <w:rPr>
                <w:rFonts w:ascii="宋体" w:hAnsi="宋体" w:eastAsia="宋体" w:cs="宋体"/>
                <w:spacing w:val="4"/>
                <w:sz w:val="17"/>
                <w:szCs w:val="17"/>
              </w:rPr>
              <w:t>。</w:t>
            </w:r>
          </w:p>
          <w:p>
            <w:pPr>
              <w:spacing w:before="99" w:line="285" w:lineRule="auto"/>
              <w:ind w:left="113" w:right="103" w:hanging="1"/>
              <w:rPr>
                <w:rFonts w:ascii="宋体" w:hAnsi="宋体" w:eastAsia="宋体" w:cs="宋体"/>
                <w:sz w:val="17"/>
                <w:szCs w:val="17"/>
              </w:rPr>
            </w:pPr>
            <w:r>
              <w:rPr>
                <w:rFonts w:ascii="宋体" w:hAnsi="宋体" w:eastAsia="宋体" w:cs="宋体"/>
                <w:spacing w:val="22"/>
                <w:sz w:val="17"/>
                <w:szCs w:val="17"/>
              </w:rPr>
              <w:t>其中</w:t>
            </w:r>
            <w:r>
              <w:rPr>
                <w:rFonts w:ascii="宋体" w:hAnsi="宋体" w:eastAsia="宋体" w:cs="宋体"/>
                <w:spacing w:val="20"/>
                <w:sz w:val="17"/>
                <w:szCs w:val="17"/>
              </w:rPr>
              <w:t>：</w:t>
            </w:r>
            <w:r>
              <w:rPr>
                <w:rFonts w:ascii="宋体" w:hAnsi="宋体" w:eastAsia="宋体" w:cs="宋体"/>
                <w:spacing w:val="11"/>
                <w:sz w:val="17"/>
                <w:szCs w:val="17"/>
              </w:rPr>
              <w:t>股票期权存续时间按月份计算，不足一个月的按照一个月计。不同存续期、不同发行份额应分</w:t>
            </w:r>
            <w:r>
              <w:rPr>
                <w:rFonts w:ascii="宋体" w:hAnsi="宋体" w:eastAsia="宋体" w:cs="宋体"/>
                <w:sz w:val="17"/>
                <w:szCs w:val="17"/>
              </w:rPr>
              <w:t xml:space="preserve"> </w:t>
            </w:r>
            <w:r>
              <w:rPr>
                <w:rFonts w:ascii="宋体" w:hAnsi="宋体" w:eastAsia="宋体" w:cs="宋体"/>
                <w:spacing w:val="2"/>
                <w:sz w:val="17"/>
                <w:szCs w:val="17"/>
              </w:rPr>
              <w:t>别计算</w:t>
            </w:r>
            <w:r>
              <w:rPr>
                <w:rFonts w:ascii="宋体" w:hAnsi="宋体" w:eastAsia="宋体" w:cs="宋体"/>
                <w:spacing w:val="1"/>
                <w:sz w:val="17"/>
                <w:szCs w:val="17"/>
              </w:rPr>
              <w:t>，总金额超过 20 万元的，按 20 万元计收。</w:t>
            </w:r>
          </w:p>
        </w:tc>
        <w:tc>
          <w:tcPr>
            <w:tcW w:w="16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94" w:type="dxa"/>
            <w:vMerge w:val="restart"/>
            <w:tcBorders>
              <w:bottom w:val="nil"/>
            </w:tcBorders>
            <w:vAlign w:val="top"/>
          </w:tcPr>
          <w:p>
            <w:pPr>
              <w:spacing w:line="350" w:lineRule="auto"/>
              <w:rPr>
                <w:rFonts w:ascii="Arial"/>
                <w:sz w:val="21"/>
              </w:rPr>
            </w:pPr>
          </w:p>
          <w:p>
            <w:pPr>
              <w:spacing w:before="56" w:line="349" w:lineRule="auto"/>
              <w:ind w:left="381" w:right="363" w:hanging="7"/>
              <w:rPr>
                <w:rFonts w:ascii="宋体" w:hAnsi="宋体" w:eastAsia="宋体" w:cs="宋体"/>
                <w:sz w:val="17"/>
                <w:szCs w:val="17"/>
              </w:rPr>
            </w:pPr>
            <w:r>
              <w:rPr>
                <w:rFonts w:ascii="宋体" w:hAnsi="宋体" w:eastAsia="宋体" w:cs="宋体"/>
                <w:spacing w:val="12"/>
                <w:sz w:val="17"/>
                <w:szCs w:val="17"/>
              </w:rPr>
              <w:t>分</w:t>
            </w:r>
            <w:r>
              <w:rPr>
                <w:rFonts w:ascii="宋体" w:hAnsi="宋体" w:eastAsia="宋体" w:cs="宋体"/>
                <w:spacing w:val="8"/>
                <w:sz w:val="17"/>
                <w:szCs w:val="17"/>
              </w:rPr>
              <w:t>红派息手续费</w:t>
            </w:r>
            <w:r>
              <w:rPr>
                <w:rFonts w:ascii="宋体" w:hAnsi="宋体" w:eastAsia="宋体" w:cs="宋体"/>
                <w:sz w:val="17"/>
                <w:szCs w:val="17"/>
              </w:rPr>
              <w:t xml:space="preserve"> </w:t>
            </w:r>
            <w:r>
              <w:rPr>
                <w:rFonts w:ascii="宋体" w:hAnsi="宋体" w:eastAsia="宋体" w:cs="宋体"/>
                <w:spacing w:val="20"/>
                <w:sz w:val="17"/>
                <w:szCs w:val="17"/>
              </w:rPr>
              <w:t>(</w:t>
            </w:r>
            <w:r>
              <w:rPr>
                <w:rFonts w:ascii="宋体" w:hAnsi="宋体" w:eastAsia="宋体" w:cs="宋体"/>
                <w:spacing w:val="18"/>
                <w:sz w:val="17"/>
                <w:szCs w:val="17"/>
              </w:rPr>
              <w:t>含派息兑付)</w:t>
            </w:r>
          </w:p>
        </w:tc>
        <w:tc>
          <w:tcPr>
            <w:tcW w:w="2692" w:type="dxa"/>
            <w:vAlign w:val="top"/>
          </w:tcPr>
          <w:p>
            <w:pPr>
              <w:spacing w:before="72" w:line="233" w:lineRule="auto"/>
              <w:ind w:left="1185"/>
              <w:rPr>
                <w:rFonts w:ascii="宋体" w:hAnsi="宋体" w:eastAsia="宋体" w:cs="宋体"/>
                <w:sz w:val="17"/>
                <w:szCs w:val="17"/>
              </w:rPr>
            </w:pPr>
            <w:r>
              <w:rPr>
                <w:rFonts w:ascii="宋体" w:hAnsi="宋体" w:eastAsia="宋体" w:cs="宋体"/>
                <w:spacing w:val="-8"/>
                <w:sz w:val="17"/>
                <w:szCs w:val="17"/>
              </w:rPr>
              <w:t>A</w:t>
            </w:r>
            <w:r>
              <w:rPr>
                <w:rFonts w:ascii="宋体" w:hAnsi="宋体" w:eastAsia="宋体" w:cs="宋体"/>
                <w:spacing w:val="-9"/>
                <w:sz w:val="17"/>
                <w:szCs w:val="17"/>
              </w:rPr>
              <w:t xml:space="preserve"> </w:t>
            </w:r>
            <w:r>
              <w:rPr>
                <w:rFonts w:ascii="宋体" w:hAnsi="宋体" w:eastAsia="宋体" w:cs="宋体"/>
                <w:spacing w:val="-8"/>
                <w:sz w:val="17"/>
                <w:szCs w:val="17"/>
              </w:rPr>
              <w:t>股</w:t>
            </w:r>
          </w:p>
        </w:tc>
        <w:tc>
          <w:tcPr>
            <w:tcW w:w="8217"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before="56" w:line="230" w:lineRule="auto"/>
              <w:ind w:left="113"/>
              <w:rPr>
                <w:rFonts w:ascii="宋体" w:hAnsi="宋体" w:eastAsia="宋体" w:cs="宋体"/>
                <w:sz w:val="17"/>
                <w:szCs w:val="17"/>
              </w:rPr>
            </w:pPr>
            <w:r>
              <w:rPr>
                <w:rFonts w:ascii="宋体" w:hAnsi="宋体" w:eastAsia="宋体" w:cs="宋体"/>
                <w:spacing w:val="12"/>
                <w:sz w:val="17"/>
                <w:szCs w:val="17"/>
              </w:rPr>
              <w:t>按红股</w:t>
            </w:r>
            <w:r>
              <w:rPr>
                <w:rFonts w:ascii="宋体" w:hAnsi="宋体" w:eastAsia="宋体" w:cs="宋体"/>
                <w:spacing w:val="11"/>
                <w:sz w:val="17"/>
                <w:szCs w:val="17"/>
              </w:rPr>
              <w:t>及</w:t>
            </w:r>
            <w:r>
              <w:rPr>
                <w:rFonts w:ascii="宋体" w:hAnsi="宋体" w:eastAsia="宋体" w:cs="宋体"/>
                <w:spacing w:val="6"/>
                <w:sz w:val="17"/>
                <w:szCs w:val="17"/>
              </w:rPr>
              <w:t>公积金转增股本面值与红利 (股息) 总额 0.1‰收取。</w:t>
            </w:r>
          </w:p>
        </w:tc>
        <w:tc>
          <w:tcPr>
            <w:tcW w:w="1631"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before="55" w:line="232" w:lineRule="auto"/>
              <w:ind w:left="55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continue"/>
            <w:tcBorders>
              <w:top w:val="nil"/>
              <w:bottom w:val="nil"/>
            </w:tcBorders>
            <w:vAlign w:val="top"/>
          </w:tcPr>
          <w:p>
            <w:pPr>
              <w:rPr>
                <w:rFonts w:ascii="Arial"/>
                <w:sz w:val="21"/>
              </w:rPr>
            </w:pPr>
          </w:p>
        </w:tc>
        <w:tc>
          <w:tcPr>
            <w:tcW w:w="2692" w:type="dxa"/>
            <w:vAlign w:val="top"/>
          </w:tcPr>
          <w:p>
            <w:pPr>
              <w:spacing w:before="72" w:line="231" w:lineRule="auto"/>
              <w:ind w:left="810"/>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8217" w:type="dxa"/>
            <w:vMerge w:val="continue"/>
            <w:tcBorders>
              <w:top w:val="nil"/>
              <w:bottom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continue"/>
            <w:tcBorders>
              <w:top w:val="nil"/>
              <w:bottom w:val="nil"/>
            </w:tcBorders>
            <w:vAlign w:val="top"/>
          </w:tcPr>
          <w:p>
            <w:pPr>
              <w:rPr>
                <w:rFonts w:ascii="Arial"/>
                <w:sz w:val="21"/>
              </w:rPr>
            </w:pPr>
          </w:p>
        </w:tc>
        <w:tc>
          <w:tcPr>
            <w:tcW w:w="2692" w:type="dxa"/>
            <w:vAlign w:val="top"/>
          </w:tcPr>
          <w:p>
            <w:pPr>
              <w:spacing w:before="74" w:line="231" w:lineRule="auto"/>
              <w:ind w:left="1077"/>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8217" w:type="dxa"/>
            <w:vMerge w:val="continue"/>
            <w:tcBorders>
              <w:top w:val="nil"/>
              <w:bottom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994" w:type="dxa"/>
            <w:vMerge w:val="continue"/>
            <w:tcBorders>
              <w:top w:val="nil"/>
            </w:tcBorders>
            <w:vAlign w:val="top"/>
          </w:tcPr>
          <w:p>
            <w:pPr>
              <w:rPr>
                <w:rFonts w:ascii="Arial"/>
                <w:sz w:val="21"/>
              </w:rPr>
            </w:pPr>
          </w:p>
        </w:tc>
        <w:tc>
          <w:tcPr>
            <w:tcW w:w="2692" w:type="dxa"/>
            <w:vAlign w:val="top"/>
          </w:tcPr>
          <w:p>
            <w:pPr>
              <w:spacing w:before="73" w:line="230" w:lineRule="auto"/>
              <w:ind w:left="810"/>
              <w:rPr>
                <w:rFonts w:ascii="宋体" w:hAnsi="宋体" w:eastAsia="宋体" w:cs="宋体"/>
                <w:sz w:val="17"/>
                <w:szCs w:val="17"/>
              </w:rPr>
            </w:pPr>
            <w:r>
              <w:rPr>
                <w:rFonts w:ascii="宋体" w:hAnsi="宋体" w:eastAsia="宋体" w:cs="宋体"/>
                <w:spacing w:val="12"/>
                <w:sz w:val="17"/>
                <w:szCs w:val="17"/>
              </w:rPr>
              <w:t>退</w:t>
            </w:r>
            <w:r>
              <w:rPr>
                <w:rFonts w:ascii="宋体" w:hAnsi="宋体" w:eastAsia="宋体" w:cs="宋体"/>
                <w:spacing w:val="8"/>
                <w:sz w:val="17"/>
                <w:szCs w:val="17"/>
              </w:rPr>
              <w:t>市板块股份</w:t>
            </w:r>
          </w:p>
        </w:tc>
        <w:tc>
          <w:tcPr>
            <w:tcW w:w="8217" w:type="dxa"/>
            <w:vMerge w:val="continue"/>
            <w:tcBorders>
              <w:top w:val="nil"/>
            </w:tcBorders>
            <w:vAlign w:val="top"/>
          </w:tcPr>
          <w:p>
            <w:pPr>
              <w:rPr>
                <w:rFonts w:ascii="Arial"/>
                <w:sz w:val="21"/>
              </w:rPr>
            </w:pPr>
          </w:p>
        </w:tc>
        <w:tc>
          <w:tcPr>
            <w:tcW w:w="1631" w:type="dxa"/>
            <w:vMerge w:val="continue"/>
            <w:tcBorders>
              <w:top w:val="nil"/>
            </w:tcBorders>
            <w:vAlign w:val="top"/>
          </w:tcPr>
          <w:p>
            <w:pPr>
              <w:rPr>
                <w:rFonts w:ascii="Arial"/>
                <w:sz w:val="21"/>
              </w:rPr>
            </w:pPr>
          </w:p>
        </w:tc>
      </w:tr>
    </w:tbl>
    <w:p>
      <w:pPr>
        <w:rPr>
          <w:rFonts w:ascii="Arial"/>
          <w:sz w:val="21"/>
        </w:rPr>
      </w:pPr>
    </w:p>
    <w:p>
      <w:pPr>
        <w:sectPr>
          <w:pgSz w:w="16839" w:h="11906"/>
          <w:pgMar w:top="1012" w:right="878" w:bottom="0" w:left="1420" w:header="0" w:footer="0" w:gutter="0"/>
          <w:cols w:space="720" w:num="1"/>
        </w:sectPr>
      </w:pPr>
    </w:p>
    <w:p/>
    <w:p/>
    <w:p/>
    <w:p>
      <w:pPr>
        <w:spacing w:line="60" w:lineRule="exact"/>
      </w:pPr>
    </w:p>
    <w:tbl>
      <w:tblPr>
        <w:tblStyle w:val="4"/>
        <w:tblW w:w="14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2692"/>
        <w:gridCol w:w="8217"/>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994" w:type="dxa"/>
            <w:vAlign w:val="top"/>
          </w:tcPr>
          <w:p>
            <w:pPr>
              <w:rPr>
                <w:rFonts w:ascii="Arial"/>
                <w:sz w:val="21"/>
              </w:rPr>
            </w:pPr>
          </w:p>
        </w:tc>
        <w:tc>
          <w:tcPr>
            <w:tcW w:w="2692" w:type="dxa"/>
            <w:vAlign w:val="top"/>
          </w:tcPr>
          <w:p>
            <w:pPr>
              <w:spacing w:before="281" w:line="231" w:lineRule="auto"/>
              <w:ind w:left="719"/>
              <w:rPr>
                <w:rFonts w:ascii="宋体" w:hAnsi="宋体" w:eastAsia="宋体" w:cs="宋体"/>
                <w:sz w:val="17"/>
                <w:szCs w:val="17"/>
              </w:rPr>
            </w:pPr>
            <w:r>
              <w:rPr>
                <w:rFonts w:ascii="宋体" w:hAnsi="宋体" w:eastAsia="宋体" w:cs="宋体"/>
                <w:spacing w:val="13"/>
                <w:sz w:val="17"/>
                <w:szCs w:val="17"/>
              </w:rPr>
              <w:t>可</w:t>
            </w:r>
            <w:r>
              <w:rPr>
                <w:rFonts w:ascii="宋体" w:hAnsi="宋体" w:eastAsia="宋体" w:cs="宋体"/>
                <w:spacing w:val="8"/>
                <w:sz w:val="17"/>
                <w:szCs w:val="17"/>
              </w:rPr>
              <w:t>转换公司债券</w:t>
            </w:r>
          </w:p>
        </w:tc>
        <w:tc>
          <w:tcPr>
            <w:tcW w:w="8217" w:type="dxa"/>
            <w:vAlign w:val="top"/>
          </w:tcPr>
          <w:p>
            <w:pPr>
              <w:spacing w:before="125" w:line="312" w:lineRule="exact"/>
              <w:ind w:left="113"/>
              <w:rPr>
                <w:rFonts w:ascii="宋体" w:hAnsi="宋体" w:eastAsia="宋体" w:cs="宋体"/>
                <w:sz w:val="17"/>
                <w:szCs w:val="17"/>
              </w:rPr>
            </w:pPr>
            <w:r>
              <w:rPr>
                <w:rFonts w:ascii="宋体" w:hAnsi="宋体" w:eastAsia="宋体" w:cs="宋体"/>
                <w:spacing w:val="4"/>
                <w:position w:val="10"/>
                <w:sz w:val="17"/>
                <w:szCs w:val="17"/>
              </w:rPr>
              <w:t>派息金额</w:t>
            </w:r>
            <w:r>
              <w:rPr>
                <w:rFonts w:ascii="宋体" w:hAnsi="宋体" w:eastAsia="宋体" w:cs="宋体"/>
                <w:spacing w:val="2"/>
                <w:position w:val="10"/>
                <w:sz w:val="17"/>
                <w:szCs w:val="17"/>
              </w:rPr>
              <w:t>的 0.05‰；</w:t>
            </w:r>
          </w:p>
          <w:p>
            <w:pPr>
              <w:spacing w:line="230" w:lineRule="auto"/>
              <w:ind w:left="116"/>
              <w:rPr>
                <w:rFonts w:ascii="宋体" w:hAnsi="宋体" w:eastAsia="宋体" w:cs="宋体"/>
                <w:sz w:val="17"/>
                <w:szCs w:val="17"/>
              </w:rPr>
            </w:pPr>
            <w:r>
              <w:rPr>
                <w:rFonts w:ascii="宋体" w:hAnsi="宋体" w:eastAsia="宋体" w:cs="宋体"/>
                <w:spacing w:val="4"/>
                <w:sz w:val="17"/>
                <w:szCs w:val="17"/>
              </w:rPr>
              <w:t>兑付</w:t>
            </w:r>
            <w:r>
              <w:rPr>
                <w:rFonts w:ascii="宋体" w:hAnsi="宋体" w:eastAsia="宋体" w:cs="宋体"/>
                <w:spacing w:val="2"/>
                <w:sz w:val="17"/>
                <w:szCs w:val="17"/>
              </w:rPr>
              <w:t>金额的 0.05‰。</w:t>
            </w:r>
          </w:p>
        </w:tc>
        <w:tc>
          <w:tcPr>
            <w:tcW w:w="16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94" w:type="dxa"/>
            <w:vMerge w:val="restart"/>
            <w:tcBorders>
              <w:bottom w:val="nil"/>
            </w:tcBorders>
            <w:vAlign w:val="top"/>
          </w:tcPr>
          <w:p>
            <w:pPr>
              <w:spacing w:before="232" w:line="231" w:lineRule="auto"/>
              <w:ind w:left="281"/>
              <w:rPr>
                <w:rFonts w:ascii="宋体" w:hAnsi="宋体" w:eastAsia="宋体" w:cs="宋体"/>
                <w:sz w:val="17"/>
                <w:szCs w:val="17"/>
              </w:rPr>
            </w:pPr>
            <w:r>
              <w:rPr>
                <w:rFonts w:ascii="宋体" w:hAnsi="宋体" w:eastAsia="宋体" w:cs="宋体"/>
                <w:spacing w:val="9"/>
                <w:sz w:val="17"/>
                <w:szCs w:val="17"/>
              </w:rPr>
              <w:t>赎回、回售手续费</w:t>
            </w:r>
          </w:p>
        </w:tc>
        <w:tc>
          <w:tcPr>
            <w:tcW w:w="2692" w:type="dxa"/>
            <w:vAlign w:val="top"/>
          </w:tcPr>
          <w:p>
            <w:pPr>
              <w:spacing w:before="69" w:line="231" w:lineRule="auto"/>
              <w:ind w:left="1077"/>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8217" w:type="dxa"/>
            <w:vAlign w:val="top"/>
          </w:tcPr>
          <w:p>
            <w:pPr>
              <w:spacing w:before="69" w:line="231" w:lineRule="auto"/>
              <w:ind w:left="111"/>
              <w:rPr>
                <w:rFonts w:ascii="宋体" w:hAnsi="宋体" w:eastAsia="宋体" w:cs="宋体"/>
                <w:sz w:val="17"/>
                <w:szCs w:val="17"/>
              </w:rPr>
            </w:pPr>
            <w:r>
              <w:rPr>
                <w:rFonts w:ascii="宋体" w:hAnsi="宋体" w:eastAsia="宋体" w:cs="宋体"/>
                <w:spacing w:val="5"/>
                <w:sz w:val="17"/>
                <w:szCs w:val="17"/>
              </w:rPr>
              <w:t>赎</w:t>
            </w:r>
            <w:r>
              <w:rPr>
                <w:rFonts w:ascii="宋体" w:hAnsi="宋体" w:eastAsia="宋体" w:cs="宋体"/>
                <w:spacing w:val="4"/>
                <w:sz w:val="17"/>
                <w:szCs w:val="17"/>
              </w:rPr>
              <w:t>回、回售金额的 0.5‰。</w:t>
            </w:r>
          </w:p>
        </w:tc>
        <w:tc>
          <w:tcPr>
            <w:tcW w:w="1631" w:type="dxa"/>
            <w:vMerge w:val="restart"/>
            <w:tcBorders>
              <w:bottom w:val="nil"/>
            </w:tcBorders>
            <w:vAlign w:val="top"/>
          </w:tcPr>
          <w:p>
            <w:pPr>
              <w:spacing w:before="232" w:line="232" w:lineRule="auto"/>
              <w:ind w:left="55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94" w:type="dxa"/>
            <w:vMerge w:val="continue"/>
            <w:tcBorders>
              <w:top w:val="nil"/>
            </w:tcBorders>
            <w:vAlign w:val="top"/>
          </w:tcPr>
          <w:p>
            <w:pPr>
              <w:rPr>
                <w:rFonts w:ascii="Arial"/>
                <w:sz w:val="21"/>
              </w:rPr>
            </w:pPr>
          </w:p>
        </w:tc>
        <w:tc>
          <w:tcPr>
            <w:tcW w:w="2692" w:type="dxa"/>
            <w:vAlign w:val="top"/>
          </w:tcPr>
          <w:p>
            <w:pPr>
              <w:spacing w:before="70" w:line="231" w:lineRule="auto"/>
              <w:ind w:left="719"/>
              <w:rPr>
                <w:rFonts w:ascii="宋体" w:hAnsi="宋体" w:eastAsia="宋体" w:cs="宋体"/>
                <w:sz w:val="17"/>
                <w:szCs w:val="17"/>
              </w:rPr>
            </w:pPr>
            <w:r>
              <w:rPr>
                <w:rFonts w:ascii="宋体" w:hAnsi="宋体" w:eastAsia="宋体" w:cs="宋体"/>
                <w:spacing w:val="13"/>
                <w:sz w:val="17"/>
                <w:szCs w:val="17"/>
              </w:rPr>
              <w:t>可</w:t>
            </w:r>
            <w:r>
              <w:rPr>
                <w:rFonts w:ascii="宋体" w:hAnsi="宋体" w:eastAsia="宋体" w:cs="宋体"/>
                <w:spacing w:val="8"/>
                <w:sz w:val="17"/>
                <w:szCs w:val="17"/>
              </w:rPr>
              <w:t>转换公司债券</w:t>
            </w:r>
          </w:p>
        </w:tc>
        <w:tc>
          <w:tcPr>
            <w:tcW w:w="8217" w:type="dxa"/>
            <w:vAlign w:val="top"/>
          </w:tcPr>
          <w:p>
            <w:pPr>
              <w:spacing w:before="70" w:line="231" w:lineRule="auto"/>
              <w:ind w:left="111"/>
              <w:rPr>
                <w:rFonts w:ascii="宋体" w:hAnsi="宋体" w:eastAsia="宋体" w:cs="宋体"/>
                <w:sz w:val="17"/>
                <w:szCs w:val="17"/>
              </w:rPr>
            </w:pPr>
            <w:r>
              <w:rPr>
                <w:rFonts w:ascii="宋体" w:hAnsi="宋体" w:eastAsia="宋体" w:cs="宋体"/>
                <w:spacing w:val="7"/>
                <w:sz w:val="17"/>
                <w:szCs w:val="17"/>
              </w:rPr>
              <w:t>赎</w:t>
            </w:r>
            <w:r>
              <w:rPr>
                <w:rFonts w:ascii="宋体" w:hAnsi="宋体" w:eastAsia="宋体" w:cs="宋体"/>
                <w:spacing w:val="4"/>
                <w:sz w:val="17"/>
                <w:szCs w:val="17"/>
              </w:rPr>
              <w:t>回、回售金额的 0.05‰。</w:t>
            </w:r>
          </w:p>
        </w:tc>
        <w:tc>
          <w:tcPr>
            <w:tcW w:w="16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restart"/>
            <w:tcBorders>
              <w:bottom w:val="nil"/>
            </w:tcBorders>
            <w:vAlign w:val="top"/>
          </w:tcPr>
          <w:p>
            <w:pPr>
              <w:spacing w:before="236" w:line="231" w:lineRule="auto"/>
              <w:ind w:left="372"/>
              <w:rPr>
                <w:rFonts w:ascii="宋体" w:hAnsi="宋体" w:eastAsia="宋体" w:cs="宋体"/>
                <w:sz w:val="17"/>
                <w:szCs w:val="17"/>
              </w:rPr>
            </w:pPr>
            <w:r>
              <w:rPr>
                <w:rFonts w:ascii="宋体" w:hAnsi="宋体" w:eastAsia="宋体" w:cs="宋体"/>
                <w:spacing w:val="9"/>
                <w:sz w:val="17"/>
                <w:szCs w:val="17"/>
              </w:rPr>
              <w:t>信息查询服务</w:t>
            </w:r>
            <w:r>
              <w:rPr>
                <w:rFonts w:ascii="宋体" w:hAnsi="宋体" w:eastAsia="宋体" w:cs="宋体"/>
                <w:spacing w:val="8"/>
                <w:sz w:val="17"/>
                <w:szCs w:val="17"/>
              </w:rPr>
              <w:t>费</w:t>
            </w:r>
          </w:p>
        </w:tc>
        <w:tc>
          <w:tcPr>
            <w:tcW w:w="2692" w:type="dxa"/>
            <w:vAlign w:val="top"/>
          </w:tcPr>
          <w:p>
            <w:pPr>
              <w:spacing w:before="70" w:line="233" w:lineRule="auto"/>
              <w:ind w:left="1185"/>
              <w:rPr>
                <w:rFonts w:ascii="宋体" w:hAnsi="宋体" w:eastAsia="宋体" w:cs="宋体"/>
                <w:sz w:val="17"/>
                <w:szCs w:val="17"/>
              </w:rPr>
            </w:pPr>
            <w:r>
              <w:rPr>
                <w:rFonts w:ascii="宋体" w:hAnsi="宋体" w:eastAsia="宋体" w:cs="宋体"/>
                <w:spacing w:val="-8"/>
                <w:sz w:val="17"/>
                <w:szCs w:val="17"/>
              </w:rPr>
              <w:t>A</w:t>
            </w:r>
            <w:r>
              <w:rPr>
                <w:rFonts w:ascii="宋体" w:hAnsi="宋体" w:eastAsia="宋体" w:cs="宋体"/>
                <w:spacing w:val="-9"/>
                <w:sz w:val="17"/>
                <w:szCs w:val="17"/>
              </w:rPr>
              <w:t xml:space="preserve"> </w:t>
            </w:r>
            <w:r>
              <w:rPr>
                <w:rFonts w:ascii="宋体" w:hAnsi="宋体" w:eastAsia="宋体" w:cs="宋体"/>
                <w:spacing w:val="-8"/>
                <w:sz w:val="17"/>
                <w:szCs w:val="17"/>
              </w:rPr>
              <w:t>股</w:t>
            </w:r>
          </w:p>
        </w:tc>
        <w:tc>
          <w:tcPr>
            <w:tcW w:w="8217" w:type="dxa"/>
            <w:vMerge w:val="restart"/>
            <w:tcBorders>
              <w:bottom w:val="nil"/>
            </w:tcBorders>
            <w:vAlign w:val="top"/>
          </w:tcPr>
          <w:p>
            <w:pPr>
              <w:spacing w:before="80" w:line="230" w:lineRule="auto"/>
              <w:ind w:left="125"/>
              <w:rPr>
                <w:rFonts w:ascii="宋体" w:hAnsi="宋体" w:eastAsia="宋体" w:cs="宋体"/>
                <w:sz w:val="17"/>
                <w:szCs w:val="17"/>
              </w:rPr>
            </w:pPr>
            <w:r>
              <w:rPr>
                <w:rFonts w:ascii="宋体" w:hAnsi="宋体" w:eastAsia="宋体" w:cs="宋体"/>
                <w:spacing w:val="2"/>
                <w:sz w:val="17"/>
                <w:szCs w:val="17"/>
              </w:rPr>
              <w:t>1,200 元</w:t>
            </w:r>
            <w:r>
              <w:rPr>
                <w:rFonts w:ascii="宋体" w:hAnsi="宋体" w:eastAsia="宋体" w:cs="宋体"/>
                <w:spacing w:val="1"/>
                <w:sz w:val="17"/>
                <w:szCs w:val="17"/>
              </w:rPr>
              <w:t>人民币/年。</w:t>
            </w:r>
          </w:p>
          <w:p>
            <w:pPr>
              <w:spacing w:before="100" w:line="235" w:lineRule="auto"/>
              <w:ind w:left="111"/>
              <w:rPr>
                <w:rFonts w:ascii="宋体" w:hAnsi="宋体" w:eastAsia="宋体" w:cs="宋体"/>
                <w:sz w:val="17"/>
                <w:szCs w:val="17"/>
              </w:rPr>
            </w:pPr>
            <w:r>
              <w:rPr>
                <w:rFonts w:ascii="宋体" w:hAnsi="宋体" w:eastAsia="宋体" w:cs="宋体"/>
                <w:spacing w:val="18"/>
                <w:sz w:val="17"/>
                <w:szCs w:val="17"/>
              </w:rPr>
              <w:t>注</w:t>
            </w:r>
            <w:r>
              <w:rPr>
                <w:rFonts w:ascii="宋体" w:hAnsi="宋体" w:eastAsia="宋体" w:cs="宋体"/>
                <w:spacing w:val="11"/>
                <w:sz w:val="17"/>
                <w:szCs w:val="17"/>
              </w:rPr>
              <w:t>：</w:t>
            </w:r>
            <w:r>
              <w:rPr>
                <w:rFonts w:ascii="宋体" w:hAnsi="宋体" w:eastAsia="宋体" w:cs="宋体"/>
                <w:spacing w:val="9"/>
                <w:sz w:val="17"/>
                <w:szCs w:val="17"/>
              </w:rPr>
              <w:t>当年登记不足一年的，从登记当月开始按实际月份折算计收。</w:t>
            </w:r>
          </w:p>
        </w:tc>
        <w:tc>
          <w:tcPr>
            <w:tcW w:w="1631" w:type="dxa"/>
            <w:vMerge w:val="restart"/>
            <w:tcBorders>
              <w:bottom w:val="nil"/>
            </w:tcBorders>
            <w:vAlign w:val="top"/>
          </w:tcPr>
          <w:p>
            <w:pPr>
              <w:spacing w:before="235" w:line="232" w:lineRule="auto"/>
              <w:ind w:left="55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94" w:type="dxa"/>
            <w:vMerge w:val="continue"/>
            <w:tcBorders>
              <w:top w:val="nil"/>
            </w:tcBorders>
            <w:vAlign w:val="top"/>
          </w:tcPr>
          <w:p>
            <w:pPr>
              <w:rPr>
                <w:rFonts w:ascii="Arial"/>
                <w:sz w:val="21"/>
              </w:rPr>
            </w:pPr>
          </w:p>
        </w:tc>
        <w:tc>
          <w:tcPr>
            <w:tcW w:w="2692" w:type="dxa"/>
            <w:vAlign w:val="top"/>
          </w:tcPr>
          <w:p>
            <w:pPr>
              <w:spacing w:before="72" w:line="231" w:lineRule="auto"/>
              <w:ind w:left="810"/>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8217" w:type="dxa"/>
            <w:vMerge w:val="continue"/>
            <w:tcBorders>
              <w:top w:val="nil"/>
            </w:tcBorders>
            <w:vAlign w:val="top"/>
          </w:tcPr>
          <w:p>
            <w:pPr>
              <w:rPr>
                <w:rFonts w:ascii="Arial"/>
                <w:sz w:val="21"/>
              </w:rPr>
            </w:pPr>
          </w:p>
        </w:tc>
        <w:tc>
          <w:tcPr>
            <w:tcW w:w="16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994" w:type="dxa"/>
            <w:vAlign w:val="top"/>
          </w:tcPr>
          <w:p>
            <w:pPr>
              <w:spacing w:line="325" w:lineRule="auto"/>
              <w:rPr>
                <w:rFonts w:ascii="Arial"/>
                <w:sz w:val="21"/>
              </w:rPr>
            </w:pPr>
          </w:p>
          <w:p>
            <w:pPr>
              <w:spacing w:before="55" w:line="349" w:lineRule="auto"/>
              <w:ind w:left="554" w:right="183" w:hanging="362"/>
              <w:rPr>
                <w:rFonts w:ascii="宋体" w:hAnsi="宋体" w:eastAsia="宋体" w:cs="宋体"/>
                <w:sz w:val="17"/>
                <w:szCs w:val="17"/>
              </w:rPr>
            </w:pPr>
            <w:r>
              <w:rPr>
                <w:rFonts w:ascii="宋体" w:hAnsi="宋体" w:eastAsia="宋体" w:cs="宋体"/>
                <w:spacing w:val="10"/>
                <w:sz w:val="17"/>
                <w:szCs w:val="17"/>
              </w:rPr>
              <w:t>证</w:t>
            </w:r>
            <w:r>
              <w:rPr>
                <w:rFonts w:ascii="宋体" w:hAnsi="宋体" w:eastAsia="宋体" w:cs="宋体"/>
                <w:spacing w:val="9"/>
                <w:sz w:val="17"/>
                <w:szCs w:val="17"/>
              </w:rPr>
              <w:t>券持有人大会网络</w:t>
            </w:r>
            <w:r>
              <w:rPr>
                <w:rFonts w:ascii="宋体" w:hAnsi="宋体" w:eastAsia="宋体" w:cs="宋体"/>
                <w:sz w:val="17"/>
                <w:szCs w:val="17"/>
              </w:rPr>
              <w:t xml:space="preserve"> </w:t>
            </w:r>
            <w:r>
              <w:rPr>
                <w:rFonts w:ascii="宋体" w:hAnsi="宋体" w:eastAsia="宋体" w:cs="宋体"/>
                <w:spacing w:val="8"/>
                <w:sz w:val="17"/>
                <w:szCs w:val="17"/>
              </w:rPr>
              <w:t>投票服务费</w:t>
            </w:r>
          </w:p>
        </w:tc>
        <w:tc>
          <w:tcPr>
            <w:tcW w:w="2692" w:type="dxa"/>
            <w:vAlign w:val="top"/>
          </w:tcPr>
          <w:p>
            <w:pPr>
              <w:spacing w:before="226" w:line="233" w:lineRule="auto"/>
              <w:ind w:left="127"/>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6"/>
                <w:sz w:val="17"/>
                <w:szCs w:val="17"/>
              </w:rPr>
              <w:t xml:space="preserve"> 股</w:t>
            </w:r>
            <w:r>
              <w:rPr>
                <w:rFonts w:ascii="宋体" w:hAnsi="宋体" w:eastAsia="宋体" w:cs="宋体"/>
                <w:spacing w:val="4"/>
                <w:sz w:val="17"/>
                <w:szCs w:val="17"/>
              </w:rPr>
              <w:t>、</w:t>
            </w:r>
            <w:r>
              <w:rPr>
                <w:rFonts w:ascii="宋体" w:hAnsi="宋体" w:eastAsia="宋体" w:cs="宋体"/>
                <w:sz w:val="17"/>
                <w:szCs w:val="17"/>
              </w:rPr>
              <w:t>B</w:t>
            </w:r>
            <w:r>
              <w:rPr>
                <w:rFonts w:ascii="宋体" w:hAnsi="宋体" w:eastAsia="宋体" w:cs="宋体"/>
                <w:spacing w:val="3"/>
                <w:sz w:val="17"/>
                <w:szCs w:val="17"/>
              </w:rPr>
              <w:t xml:space="preserve"> 股、优先股、挂牌公司</w:t>
            </w:r>
          </w:p>
          <w:p>
            <w:pPr>
              <w:spacing w:before="97" w:line="231" w:lineRule="auto"/>
              <w:ind w:left="111"/>
              <w:rPr>
                <w:rFonts w:ascii="宋体" w:hAnsi="宋体" w:eastAsia="宋体" w:cs="宋体"/>
                <w:sz w:val="17"/>
                <w:szCs w:val="17"/>
              </w:rPr>
            </w:pPr>
            <w:r>
              <w:rPr>
                <w:rFonts w:ascii="宋体" w:hAnsi="宋体" w:eastAsia="宋体" w:cs="宋体"/>
                <w:spacing w:val="11"/>
                <w:sz w:val="17"/>
                <w:szCs w:val="17"/>
              </w:rPr>
              <w:t>股</w:t>
            </w:r>
            <w:r>
              <w:rPr>
                <w:rFonts w:ascii="宋体" w:hAnsi="宋体" w:eastAsia="宋体" w:cs="宋体"/>
                <w:spacing w:val="6"/>
                <w:sz w:val="17"/>
                <w:szCs w:val="17"/>
              </w:rPr>
              <w:t>票、退市板块股票、债券、证</w:t>
            </w:r>
          </w:p>
          <w:p>
            <w:pPr>
              <w:spacing w:before="99" w:line="232" w:lineRule="auto"/>
              <w:ind w:left="357"/>
              <w:rPr>
                <w:rFonts w:ascii="宋体" w:hAnsi="宋体" w:eastAsia="宋体" w:cs="宋体"/>
                <w:sz w:val="17"/>
                <w:szCs w:val="17"/>
              </w:rPr>
            </w:pPr>
            <w:r>
              <w:rPr>
                <w:rFonts w:ascii="宋体" w:hAnsi="宋体" w:eastAsia="宋体" w:cs="宋体"/>
                <w:spacing w:val="13"/>
                <w:sz w:val="17"/>
                <w:szCs w:val="17"/>
              </w:rPr>
              <w:t>券</w:t>
            </w:r>
            <w:r>
              <w:rPr>
                <w:rFonts w:ascii="宋体" w:hAnsi="宋体" w:eastAsia="宋体" w:cs="宋体"/>
                <w:spacing w:val="9"/>
                <w:sz w:val="17"/>
                <w:szCs w:val="17"/>
              </w:rPr>
              <w:t>投资基金、存托凭证等</w:t>
            </w:r>
          </w:p>
        </w:tc>
        <w:tc>
          <w:tcPr>
            <w:tcW w:w="8217" w:type="dxa"/>
            <w:vAlign w:val="top"/>
          </w:tcPr>
          <w:p>
            <w:pPr>
              <w:spacing w:before="70" w:line="339" w:lineRule="auto"/>
              <w:ind w:left="132" w:right="120" w:hanging="21"/>
              <w:rPr>
                <w:rFonts w:ascii="宋体" w:hAnsi="宋体" w:eastAsia="宋体" w:cs="宋体"/>
                <w:sz w:val="17"/>
                <w:szCs w:val="17"/>
              </w:rPr>
            </w:pPr>
            <w:r>
              <w:rPr>
                <w:rFonts w:ascii="宋体" w:hAnsi="宋体" w:eastAsia="宋体" w:cs="宋体"/>
                <w:spacing w:val="14"/>
                <w:sz w:val="17"/>
                <w:szCs w:val="17"/>
              </w:rPr>
              <w:t>权益登记</w:t>
            </w:r>
            <w:r>
              <w:rPr>
                <w:rFonts w:ascii="宋体" w:hAnsi="宋体" w:eastAsia="宋体" w:cs="宋体"/>
                <w:spacing w:val="9"/>
                <w:sz w:val="17"/>
                <w:szCs w:val="17"/>
              </w:rPr>
              <w:t>日</w:t>
            </w:r>
            <w:r>
              <w:rPr>
                <w:rFonts w:ascii="宋体" w:hAnsi="宋体" w:eastAsia="宋体" w:cs="宋体"/>
                <w:spacing w:val="7"/>
                <w:sz w:val="17"/>
                <w:szCs w:val="17"/>
              </w:rPr>
              <w:t>流通证券数量在十亿 (股/元/份) 以下收取 2,000 元人民币/次，十亿 (股/元/份) (含)</w:t>
            </w:r>
            <w:r>
              <w:rPr>
                <w:rFonts w:ascii="宋体" w:hAnsi="宋体" w:eastAsia="宋体" w:cs="宋体"/>
                <w:sz w:val="17"/>
                <w:szCs w:val="17"/>
              </w:rPr>
              <w:t xml:space="preserve"> </w:t>
            </w:r>
            <w:r>
              <w:rPr>
                <w:rFonts w:ascii="宋体" w:hAnsi="宋体" w:eastAsia="宋体" w:cs="宋体"/>
                <w:spacing w:val="1"/>
                <w:sz w:val="17"/>
                <w:szCs w:val="17"/>
              </w:rPr>
              <w:t xml:space="preserve">以上收取 3,000 </w:t>
            </w:r>
            <w:r>
              <w:rPr>
                <w:rFonts w:ascii="宋体" w:hAnsi="宋体" w:eastAsia="宋体" w:cs="宋体"/>
                <w:sz w:val="17"/>
                <w:szCs w:val="17"/>
              </w:rPr>
              <w:t>元人民币/次。</w:t>
            </w:r>
          </w:p>
          <w:p>
            <w:pPr>
              <w:spacing w:before="1" w:line="284" w:lineRule="auto"/>
              <w:ind w:left="102" w:right="103" w:firstLine="9"/>
              <w:rPr>
                <w:rFonts w:ascii="宋体" w:hAnsi="宋体" w:eastAsia="宋体" w:cs="宋体"/>
                <w:sz w:val="17"/>
                <w:szCs w:val="17"/>
              </w:rPr>
            </w:pPr>
            <w:r>
              <w:rPr>
                <w:rFonts w:ascii="宋体" w:hAnsi="宋体" w:eastAsia="宋体" w:cs="宋体"/>
                <w:spacing w:val="18"/>
                <w:sz w:val="17"/>
                <w:szCs w:val="17"/>
              </w:rPr>
              <w:t>注：</w:t>
            </w:r>
            <w:r>
              <w:rPr>
                <w:rFonts w:ascii="宋体" w:hAnsi="宋体" w:eastAsia="宋体" w:cs="宋体"/>
                <w:spacing w:val="17"/>
                <w:sz w:val="17"/>
                <w:szCs w:val="17"/>
              </w:rPr>
              <w:t>证</w:t>
            </w:r>
            <w:r>
              <w:rPr>
                <w:rFonts w:ascii="宋体" w:hAnsi="宋体" w:eastAsia="宋体" w:cs="宋体"/>
                <w:spacing w:val="9"/>
                <w:sz w:val="17"/>
                <w:szCs w:val="17"/>
              </w:rPr>
              <w:t>券数量单位：普通股等为“股”，债券、优先股等为面值“元”,证券投资基金、存托凭证等为</w:t>
            </w:r>
            <w:r>
              <w:rPr>
                <w:rFonts w:ascii="宋体" w:hAnsi="宋体" w:eastAsia="宋体" w:cs="宋体"/>
                <w:sz w:val="17"/>
                <w:szCs w:val="17"/>
              </w:rPr>
              <w:t xml:space="preserve"> </w:t>
            </w:r>
            <w:r>
              <w:rPr>
                <w:rFonts w:ascii="宋体" w:hAnsi="宋体" w:eastAsia="宋体" w:cs="宋体"/>
                <w:spacing w:val="8"/>
                <w:sz w:val="17"/>
                <w:szCs w:val="17"/>
              </w:rPr>
              <w:t>“份”。</w:t>
            </w:r>
          </w:p>
        </w:tc>
        <w:tc>
          <w:tcPr>
            <w:tcW w:w="1631" w:type="dxa"/>
            <w:vAlign w:val="top"/>
          </w:tcPr>
          <w:p>
            <w:pPr>
              <w:spacing w:line="479" w:lineRule="auto"/>
              <w:rPr>
                <w:rFonts w:ascii="Arial"/>
                <w:sz w:val="21"/>
              </w:rPr>
            </w:pPr>
          </w:p>
          <w:p>
            <w:pPr>
              <w:spacing w:before="56" w:line="232" w:lineRule="auto"/>
              <w:ind w:left="55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bl>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5" w:line="222" w:lineRule="auto"/>
        <w:ind w:left="3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投资者业务收</w:t>
      </w:r>
      <w:r>
        <w:rPr>
          <w:rFonts w:ascii="宋体" w:hAnsi="宋体" w:eastAsia="宋体" w:cs="宋体"/>
          <w:spacing w:val="8"/>
          <w:sz w:val="23"/>
          <w:szCs w:val="23"/>
          <w14:textOutline w14:w="4358" w14:cap="sq" w14:cmpd="sng">
            <w14:solidFill>
              <w14:srgbClr w14:val="000000"/>
            </w14:solidFill>
            <w14:prstDash w14:val="solid"/>
            <w14:bevel/>
          </w14:textOutline>
        </w:rPr>
        <w:t>费</w:t>
      </w:r>
    </w:p>
    <w:tbl>
      <w:tblPr>
        <w:tblStyle w:val="4"/>
        <w:tblW w:w="14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2692"/>
        <w:gridCol w:w="8217"/>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1994" w:type="dxa"/>
            <w:vAlign w:val="top"/>
          </w:tcPr>
          <w:p>
            <w:pPr>
              <w:spacing w:before="171" w:line="231" w:lineRule="auto"/>
              <w:ind w:left="647"/>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费项目</w:t>
            </w:r>
          </w:p>
        </w:tc>
        <w:tc>
          <w:tcPr>
            <w:tcW w:w="2692" w:type="dxa"/>
            <w:vAlign w:val="top"/>
          </w:tcPr>
          <w:p>
            <w:pPr>
              <w:spacing w:before="171" w:line="232" w:lineRule="auto"/>
              <w:ind w:left="98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证券品</w:t>
            </w:r>
            <w:r>
              <w:rPr>
                <w:rFonts w:ascii="宋体" w:hAnsi="宋体" w:eastAsia="宋体" w:cs="宋体"/>
                <w:spacing w:val="8"/>
                <w:sz w:val="17"/>
                <w:szCs w:val="17"/>
                <w14:textOutline w14:w="3268" w14:cap="sq" w14:cmpd="sng">
                  <w14:solidFill>
                    <w14:srgbClr w14:val="000000"/>
                  </w14:solidFill>
                  <w14:prstDash w14:val="solid"/>
                  <w14:bevel/>
                </w14:textOutline>
              </w:rPr>
              <w:t>种</w:t>
            </w:r>
          </w:p>
        </w:tc>
        <w:tc>
          <w:tcPr>
            <w:tcW w:w="8217" w:type="dxa"/>
            <w:vAlign w:val="top"/>
          </w:tcPr>
          <w:p>
            <w:pPr>
              <w:spacing w:before="171" w:line="231" w:lineRule="auto"/>
              <w:ind w:left="375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费标准</w:t>
            </w:r>
          </w:p>
        </w:tc>
        <w:tc>
          <w:tcPr>
            <w:tcW w:w="1631" w:type="dxa"/>
            <w:vAlign w:val="top"/>
          </w:tcPr>
          <w:p>
            <w:pPr>
              <w:spacing w:before="171" w:line="231" w:lineRule="auto"/>
              <w:ind w:left="46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94" w:type="dxa"/>
            <w:vMerge w:val="restart"/>
            <w:tcBorders>
              <w:bottom w:val="nil"/>
            </w:tcBorders>
            <w:vAlign w:val="top"/>
          </w:tcPr>
          <w:p>
            <w:pPr>
              <w:spacing w:before="232" w:line="231" w:lineRule="auto"/>
              <w:ind w:left="552"/>
              <w:rPr>
                <w:rFonts w:ascii="宋体" w:hAnsi="宋体" w:eastAsia="宋体" w:cs="宋体"/>
                <w:sz w:val="17"/>
                <w:szCs w:val="17"/>
              </w:rPr>
            </w:pPr>
            <w:r>
              <w:rPr>
                <w:rFonts w:ascii="宋体" w:hAnsi="宋体" w:eastAsia="宋体" w:cs="宋体"/>
                <w:spacing w:val="10"/>
                <w:sz w:val="17"/>
                <w:szCs w:val="17"/>
              </w:rPr>
              <w:t>股</w:t>
            </w:r>
            <w:r>
              <w:rPr>
                <w:rFonts w:ascii="宋体" w:hAnsi="宋体" w:eastAsia="宋体" w:cs="宋体"/>
                <w:spacing w:val="8"/>
                <w:sz w:val="17"/>
                <w:szCs w:val="17"/>
              </w:rPr>
              <w:t>份过户费</w:t>
            </w:r>
          </w:p>
        </w:tc>
        <w:tc>
          <w:tcPr>
            <w:tcW w:w="2692" w:type="dxa"/>
            <w:vAlign w:val="top"/>
          </w:tcPr>
          <w:p>
            <w:pPr>
              <w:spacing w:before="69" w:line="233" w:lineRule="auto"/>
              <w:ind w:left="1185"/>
              <w:rPr>
                <w:rFonts w:ascii="宋体" w:hAnsi="宋体" w:eastAsia="宋体" w:cs="宋体"/>
                <w:sz w:val="17"/>
                <w:szCs w:val="17"/>
              </w:rPr>
            </w:pPr>
            <w:r>
              <w:rPr>
                <w:rFonts w:ascii="宋体" w:hAnsi="宋体" w:eastAsia="宋体" w:cs="宋体"/>
                <w:spacing w:val="-8"/>
                <w:sz w:val="17"/>
                <w:szCs w:val="17"/>
              </w:rPr>
              <w:t>A</w:t>
            </w:r>
            <w:r>
              <w:rPr>
                <w:rFonts w:ascii="宋体" w:hAnsi="宋体" w:eastAsia="宋体" w:cs="宋体"/>
                <w:spacing w:val="-9"/>
                <w:sz w:val="17"/>
                <w:szCs w:val="17"/>
              </w:rPr>
              <w:t xml:space="preserve"> </w:t>
            </w:r>
            <w:r>
              <w:rPr>
                <w:rFonts w:ascii="宋体" w:hAnsi="宋体" w:eastAsia="宋体" w:cs="宋体"/>
                <w:spacing w:val="-8"/>
                <w:sz w:val="17"/>
                <w:szCs w:val="17"/>
              </w:rPr>
              <w:t>股</w:t>
            </w:r>
          </w:p>
        </w:tc>
        <w:tc>
          <w:tcPr>
            <w:tcW w:w="8217" w:type="dxa"/>
            <w:vMerge w:val="restart"/>
            <w:tcBorders>
              <w:bottom w:val="nil"/>
            </w:tcBorders>
            <w:vAlign w:val="top"/>
          </w:tcPr>
          <w:p>
            <w:pPr>
              <w:spacing w:before="232" w:line="231" w:lineRule="auto"/>
              <w:ind w:left="113"/>
              <w:rPr>
                <w:rFonts w:ascii="宋体" w:hAnsi="宋体" w:eastAsia="宋体" w:cs="宋体"/>
                <w:sz w:val="17"/>
                <w:szCs w:val="17"/>
              </w:rPr>
            </w:pPr>
            <w:r>
              <w:rPr>
                <w:rFonts w:ascii="宋体" w:hAnsi="宋体" w:eastAsia="宋体" w:cs="宋体"/>
                <w:spacing w:val="5"/>
                <w:sz w:val="17"/>
                <w:szCs w:val="17"/>
              </w:rPr>
              <w:t>按成交金额的 0.01‰双边收取</w:t>
            </w:r>
            <w:r>
              <w:rPr>
                <w:rFonts w:ascii="宋体" w:hAnsi="宋体" w:eastAsia="宋体" w:cs="宋体"/>
                <w:spacing w:val="2"/>
                <w:sz w:val="17"/>
                <w:szCs w:val="17"/>
              </w:rPr>
              <w:t>。</w:t>
            </w:r>
          </w:p>
        </w:tc>
        <w:tc>
          <w:tcPr>
            <w:tcW w:w="1631" w:type="dxa"/>
            <w:vMerge w:val="restart"/>
            <w:tcBorders>
              <w:bottom w:val="nil"/>
            </w:tcBorders>
            <w:vAlign w:val="top"/>
          </w:tcPr>
          <w:p>
            <w:pPr>
              <w:spacing w:before="232" w:line="232" w:lineRule="auto"/>
              <w:ind w:left="551"/>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continue"/>
            <w:tcBorders>
              <w:top w:val="nil"/>
            </w:tcBorders>
            <w:vAlign w:val="top"/>
          </w:tcPr>
          <w:p>
            <w:pPr>
              <w:rPr>
                <w:rFonts w:ascii="Arial"/>
                <w:sz w:val="21"/>
              </w:rPr>
            </w:pPr>
          </w:p>
        </w:tc>
        <w:tc>
          <w:tcPr>
            <w:tcW w:w="2692" w:type="dxa"/>
            <w:vAlign w:val="top"/>
          </w:tcPr>
          <w:p>
            <w:pPr>
              <w:spacing w:before="70" w:line="231" w:lineRule="auto"/>
              <w:ind w:left="810"/>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8217" w:type="dxa"/>
            <w:vMerge w:val="continue"/>
            <w:tcBorders>
              <w:top w:val="nil"/>
            </w:tcBorders>
            <w:vAlign w:val="top"/>
          </w:tcPr>
          <w:p>
            <w:pPr>
              <w:rPr>
                <w:rFonts w:ascii="Arial"/>
                <w:sz w:val="21"/>
              </w:rPr>
            </w:pPr>
          </w:p>
        </w:tc>
        <w:tc>
          <w:tcPr>
            <w:tcW w:w="16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94"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5" w:line="232" w:lineRule="auto"/>
              <w:ind w:left="463"/>
              <w:rPr>
                <w:rFonts w:ascii="宋体" w:hAnsi="宋体" w:eastAsia="宋体" w:cs="宋体"/>
                <w:sz w:val="17"/>
                <w:szCs w:val="17"/>
              </w:rPr>
            </w:pPr>
            <w:r>
              <w:rPr>
                <w:rFonts w:ascii="宋体" w:hAnsi="宋体" w:eastAsia="宋体" w:cs="宋体"/>
                <w:spacing w:val="10"/>
                <w:sz w:val="17"/>
                <w:szCs w:val="17"/>
              </w:rPr>
              <w:t>非</w:t>
            </w:r>
            <w:r>
              <w:rPr>
                <w:rFonts w:ascii="宋体" w:hAnsi="宋体" w:eastAsia="宋体" w:cs="宋体"/>
                <w:spacing w:val="8"/>
                <w:sz w:val="17"/>
                <w:szCs w:val="17"/>
              </w:rPr>
              <w:t>交易过户费</w:t>
            </w:r>
          </w:p>
        </w:tc>
        <w:tc>
          <w:tcPr>
            <w:tcW w:w="2692" w:type="dxa"/>
            <w:vAlign w:val="top"/>
          </w:tcPr>
          <w:p>
            <w:pPr>
              <w:spacing w:before="69" w:line="233" w:lineRule="auto"/>
              <w:ind w:left="1185"/>
              <w:rPr>
                <w:rFonts w:ascii="宋体" w:hAnsi="宋体" w:eastAsia="宋体" w:cs="宋体"/>
                <w:sz w:val="17"/>
                <w:szCs w:val="17"/>
              </w:rPr>
            </w:pPr>
            <w:r>
              <w:rPr>
                <w:rFonts w:ascii="宋体" w:hAnsi="宋体" w:eastAsia="宋体" w:cs="宋体"/>
                <w:spacing w:val="-8"/>
                <w:sz w:val="17"/>
                <w:szCs w:val="17"/>
              </w:rPr>
              <w:t>A</w:t>
            </w:r>
            <w:r>
              <w:rPr>
                <w:rFonts w:ascii="宋体" w:hAnsi="宋体" w:eastAsia="宋体" w:cs="宋体"/>
                <w:spacing w:val="-9"/>
                <w:sz w:val="17"/>
                <w:szCs w:val="17"/>
              </w:rPr>
              <w:t xml:space="preserve"> </w:t>
            </w:r>
            <w:r>
              <w:rPr>
                <w:rFonts w:ascii="宋体" w:hAnsi="宋体" w:eastAsia="宋体" w:cs="宋体"/>
                <w:spacing w:val="-8"/>
                <w:sz w:val="17"/>
                <w:szCs w:val="17"/>
              </w:rPr>
              <w:t>股</w:t>
            </w:r>
          </w:p>
        </w:tc>
        <w:tc>
          <w:tcPr>
            <w:tcW w:w="8217" w:type="dxa"/>
            <w:vMerge w:val="restart"/>
            <w:tcBorders>
              <w:bottom w:val="nil"/>
            </w:tcBorders>
            <w:vAlign w:val="top"/>
          </w:tcPr>
          <w:p>
            <w:pPr>
              <w:spacing w:line="340" w:lineRule="auto"/>
              <w:rPr>
                <w:rFonts w:ascii="Arial"/>
                <w:sz w:val="21"/>
              </w:rPr>
            </w:pPr>
          </w:p>
          <w:p>
            <w:pPr>
              <w:spacing w:before="56" w:line="231" w:lineRule="auto"/>
              <w:ind w:left="113"/>
              <w:rPr>
                <w:rFonts w:ascii="宋体" w:hAnsi="宋体" w:eastAsia="宋体" w:cs="宋体"/>
                <w:sz w:val="17"/>
                <w:szCs w:val="17"/>
              </w:rPr>
            </w:pPr>
            <w:r>
              <w:rPr>
                <w:rFonts w:ascii="宋体" w:hAnsi="宋体" w:eastAsia="宋体" w:cs="宋体"/>
                <w:spacing w:val="6"/>
                <w:sz w:val="17"/>
                <w:szCs w:val="17"/>
              </w:rPr>
              <w:t>按股份过户</w:t>
            </w:r>
            <w:r>
              <w:rPr>
                <w:rFonts w:ascii="宋体" w:hAnsi="宋体" w:eastAsia="宋体" w:cs="宋体"/>
                <w:spacing w:val="3"/>
                <w:sz w:val="17"/>
                <w:szCs w:val="17"/>
              </w:rPr>
              <w:t>面值的 1‰收取，最高 10 万元 (双向收取) 。</w:t>
            </w:r>
          </w:p>
        </w:tc>
        <w:tc>
          <w:tcPr>
            <w:tcW w:w="1631"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5" w:line="232" w:lineRule="auto"/>
              <w:ind w:left="551"/>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994" w:type="dxa"/>
            <w:vMerge w:val="continue"/>
            <w:tcBorders>
              <w:top w:val="nil"/>
              <w:bottom w:val="nil"/>
            </w:tcBorders>
            <w:vAlign w:val="top"/>
          </w:tcPr>
          <w:p>
            <w:pPr>
              <w:rPr>
                <w:rFonts w:ascii="Arial"/>
                <w:sz w:val="21"/>
              </w:rPr>
            </w:pPr>
          </w:p>
        </w:tc>
        <w:tc>
          <w:tcPr>
            <w:tcW w:w="2692" w:type="dxa"/>
            <w:vAlign w:val="top"/>
          </w:tcPr>
          <w:p>
            <w:pPr>
              <w:spacing w:before="72" w:line="231" w:lineRule="auto"/>
              <w:ind w:left="810"/>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8217" w:type="dxa"/>
            <w:vMerge w:val="continue"/>
            <w:tcBorders>
              <w:top w:val="nil"/>
              <w:bottom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continue"/>
            <w:tcBorders>
              <w:top w:val="nil"/>
              <w:bottom w:val="nil"/>
            </w:tcBorders>
            <w:vAlign w:val="top"/>
          </w:tcPr>
          <w:p>
            <w:pPr>
              <w:rPr>
                <w:rFonts w:ascii="Arial"/>
                <w:sz w:val="21"/>
              </w:rPr>
            </w:pPr>
          </w:p>
        </w:tc>
        <w:tc>
          <w:tcPr>
            <w:tcW w:w="2692" w:type="dxa"/>
            <w:vAlign w:val="top"/>
          </w:tcPr>
          <w:p>
            <w:pPr>
              <w:spacing w:before="72" w:line="231" w:lineRule="auto"/>
              <w:ind w:left="1077"/>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8217" w:type="dxa"/>
            <w:vMerge w:val="continue"/>
            <w:tcBorders>
              <w:top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2" w:hRule="atLeast"/>
        </w:trPr>
        <w:tc>
          <w:tcPr>
            <w:tcW w:w="1994" w:type="dxa"/>
            <w:vMerge w:val="continue"/>
            <w:tcBorders>
              <w:top w:val="nil"/>
            </w:tcBorders>
            <w:vAlign w:val="top"/>
          </w:tcPr>
          <w:p>
            <w:pPr>
              <w:rPr>
                <w:rFonts w:ascii="Arial"/>
                <w:sz w:val="21"/>
              </w:rPr>
            </w:pPr>
          </w:p>
        </w:tc>
        <w:tc>
          <w:tcPr>
            <w:tcW w:w="2692" w:type="dxa"/>
            <w:vAlign w:val="top"/>
          </w:tcPr>
          <w:p>
            <w:pPr>
              <w:spacing w:line="267" w:lineRule="auto"/>
              <w:rPr>
                <w:rFonts w:ascii="Arial"/>
                <w:sz w:val="21"/>
              </w:rPr>
            </w:pPr>
          </w:p>
          <w:p>
            <w:pPr>
              <w:spacing w:before="55" w:line="230" w:lineRule="auto"/>
              <w:ind w:left="810"/>
              <w:rPr>
                <w:rFonts w:ascii="宋体" w:hAnsi="宋体" w:eastAsia="宋体" w:cs="宋体"/>
                <w:sz w:val="17"/>
                <w:szCs w:val="17"/>
              </w:rPr>
            </w:pPr>
            <w:r>
              <w:rPr>
                <w:rFonts w:ascii="宋体" w:hAnsi="宋体" w:eastAsia="宋体" w:cs="宋体"/>
                <w:spacing w:val="12"/>
                <w:sz w:val="17"/>
                <w:szCs w:val="17"/>
              </w:rPr>
              <w:t>退</w:t>
            </w:r>
            <w:r>
              <w:rPr>
                <w:rFonts w:ascii="宋体" w:hAnsi="宋体" w:eastAsia="宋体" w:cs="宋体"/>
                <w:spacing w:val="8"/>
                <w:sz w:val="17"/>
                <w:szCs w:val="17"/>
              </w:rPr>
              <w:t>市板块股份</w:t>
            </w:r>
          </w:p>
        </w:tc>
        <w:tc>
          <w:tcPr>
            <w:tcW w:w="8217" w:type="dxa"/>
            <w:vAlign w:val="top"/>
          </w:tcPr>
          <w:p>
            <w:pPr>
              <w:spacing w:before="168" w:line="231" w:lineRule="auto"/>
              <w:ind w:left="112"/>
              <w:rPr>
                <w:rFonts w:ascii="宋体" w:hAnsi="宋体" w:eastAsia="宋体" w:cs="宋体"/>
                <w:sz w:val="17"/>
                <w:szCs w:val="17"/>
              </w:rPr>
            </w:pPr>
            <w:r>
              <w:rPr>
                <w:rFonts w:ascii="宋体" w:hAnsi="宋体" w:eastAsia="宋体" w:cs="宋体"/>
                <w:spacing w:val="2"/>
                <w:sz w:val="17"/>
                <w:szCs w:val="17"/>
              </w:rPr>
              <w:t xml:space="preserve">退市 </w:t>
            </w:r>
            <w:r>
              <w:rPr>
                <w:rFonts w:ascii="宋体" w:hAnsi="宋体" w:eastAsia="宋体" w:cs="宋体"/>
                <w:sz w:val="17"/>
                <w:szCs w:val="17"/>
              </w:rPr>
              <w:t>A</w:t>
            </w:r>
            <w:r>
              <w:rPr>
                <w:rFonts w:ascii="宋体" w:hAnsi="宋体" w:eastAsia="宋体" w:cs="宋体"/>
                <w:spacing w:val="2"/>
                <w:sz w:val="17"/>
                <w:szCs w:val="17"/>
              </w:rPr>
              <w:t xml:space="preserve"> 股：按股份过户面值的 1‰收取，最高 10 万元 (双向收取) 。</w:t>
            </w:r>
          </w:p>
          <w:p>
            <w:pPr>
              <w:spacing w:before="99" w:line="231" w:lineRule="auto"/>
              <w:ind w:left="112"/>
              <w:rPr>
                <w:rFonts w:ascii="宋体" w:hAnsi="宋体" w:eastAsia="宋体" w:cs="宋体"/>
                <w:sz w:val="17"/>
                <w:szCs w:val="17"/>
              </w:rPr>
            </w:pPr>
            <w:r>
              <w:rPr>
                <w:rFonts w:ascii="宋体" w:hAnsi="宋体" w:eastAsia="宋体" w:cs="宋体"/>
                <w:spacing w:val="-4"/>
                <w:sz w:val="17"/>
                <w:szCs w:val="17"/>
              </w:rPr>
              <w:t>退</w:t>
            </w:r>
            <w:r>
              <w:rPr>
                <w:rFonts w:ascii="宋体" w:hAnsi="宋体" w:eastAsia="宋体" w:cs="宋体"/>
                <w:spacing w:val="-3"/>
                <w:sz w:val="17"/>
                <w:szCs w:val="17"/>
              </w:rPr>
              <w:t>市</w:t>
            </w:r>
            <w:r>
              <w:rPr>
                <w:rFonts w:ascii="宋体" w:hAnsi="宋体" w:eastAsia="宋体" w:cs="宋体"/>
                <w:spacing w:val="-2"/>
                <w:sz w:val="17"/>
                <w:szCs w:val="17"/>
              </w:rPr>
              <w:t xml:space="preserve"> B 股：暂免。</w:t>
            </w:r>
          </w:p>
        </w:tc>
        <w:tc>
          <w:tcPr>
            <w:tcW w:w="16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restart"/>
            <w:tcBorders>
              <w:bottom w:val="nil"/>
            </w:tcBorders>
            <w:vAlign w:val="top"/>
          </w:tcPr>
          <w:p>
            <w:pPr>
              <w:spacing w:before="236" w:line="232" w:lineRule="auto"/>
              <w:ind w:left="552"/>
              <w:rPr>
                <w:rFonts w:ascii="宋体" w:hAnsi="宋体" w:eastAsia="宋体" w:cs="宋体"/>
                <w:sz w:val="17"/>
                <w:szCs w:val="17"/>
              </w:rPr>
            </w:pPr>
            <w:r>
              <w:rPr>
                <w:rFonts w:ascii="宋体" w:hAnsi="宋体" w:eastAsia="宋体" w:cs="宋体"/>
                <w:spacing w:val="10"/>
                <w:sz w:val="17"/>
                <w:szCs w:val="17"/>
              </w:rPr>
              <w:t>质</w:t>
            </w:r>
            <w:r>
              <w:rPr>
                <w:rFonts w:ascii="宋体" w:hAnsi="宋体" w:eastAsia="宋体" w:cs="宋体"/>
                <w:spacing w:val="8"/>
                <w:sz w:val="17"/>
                <w:szCs w:val="17"/>
              </w:rPr>
              <w:t>押登记费</w:t>
            </w:r>
          </w:p>
        </w:tc>
        <w:tc>
          <w:tcPr>
            <w:tcW w:w="2692" w:type="dxa"/>
            <w:vAlign w:val="top"/>
          </w:tcPr>
          <w:p>
            <w:pPr>
              <w:spacing w:before="73" w:line="233" w:lineRule="auto"/>
              <w:ind w:left="1185"/>
              <w:rPr>
                <w:rFonts w:ascii="宋体" w:hAnsi="宋体" w:eastAsia="宋体" w:cs="宋体"/>
                <w:sz w:val="17"/>
                <w:szCs w:val="17"/>
              </w:rPr>
            </w:pPr>
            <w:r>
              <w:rPr>
                <w:rFonts w:ascii="宋体" w:hAnsi="宋体" w:eastAsia="宋体" w:cs="宋体"/>
                <w:spacing w:val="-8"/>
                <w:sz w:val="17"/>
                <w:szCs w:val="17"/>
              </w:rPr>
              <w:t>A</w:t>
            </w:r>
            <w:r>
              <w:rPr>
                <w:rFonts w:ascii="宋体" w:hAnsi="宋体" w:eastAsia="宋体" w:cs="宋体"/>
                <w:spacing w:val="-9"/>
                <w:sz w:val="17"/>
                <w:szCs w:val="17"/>
              </w:rPr>
              <w:t xml:space="preserve"> </w:t>
            </w:r>
            <w:r>
              <w:rPr>
                <w:rFonts w:ascii="宋体" w:hAnsi="宋体" w:eastAsia="宋体" w:cs="宋体"/>
                <w:spacing w:val="-8"/>
                <w:sz w:val="17"/>
                <w:szCs w:val="17"/>
              </w:rPr>
              <w:t>股</w:t>
            </w:r>
          </w:p>
        </w:tc>
        <w:tc>
          <w:tcPr>
            <w:tcW w:w="8217" w:type="dxa"/>
            <w:vMerge w:val="restart"/>
            <w:tcBorders>
              <w:bottom w:val="nil"/>
            </w:tcBorders>
            <w:vAlign w:val="top"/>
          </w:tcPr>
          <w:p>
            <w:pPr>
              <w:spacing w:before="236" w:line="231" w:lineRule="auto"/>
              <w:ind w:left="115"/>
              <w:rPr>
                <w:rFonts w:ascii="宋体" w:hAnsi="宋体" w:eastAsia="宋体" w:cs="宋体"/>
                <w:sz w:val="17"/>
                <w:szCs w:val="17"/>
              </w:rPr>
            </w:pPr>
            <w:r>
              <w:rPr>
                <w:rFonts w:ascii="宋体" w:hAnsi="宋体" w:eastAsia="宋体" w:cs="宋体"/>
                <w:spacing w:val="6"/>
                <w:sz w:val="17"/>
                <w:szCs w:val="17"/>
              </w:rPr>
              <w:t>500 万股以下 (含)</w:t>
            </w:r>
            <w:r>
              <w:rPr>
                <w:rFonts w:ascii="宋体" w:hAnsi="宋体" w:eastAsia="宋体" w:cs="宋体"/>
                <w:spacing w:val="4"/>
                <w:sz w:val="17"/>
                <w:szCs w:val="17"/>
              </w:rPr>
              <w:t xml:space="preserve"> </w:t>
            </w:r>
            <w:r>
              <w:rPr>
                <w:rFonts w:ascii="宋体" w:hAnsi="宋体" w:eastAsia="宋体" w:cs="宋体"/>
                <w:spacing w:val="3"/>
                <w:sz w:val="17"/>
                <w:szCs w:val="17"/>
              </w:rPr>
              <w:t>部分按该部分面值的 1‰收取，超 500 万股的部分按该部分面值的 0.1‰收取。</w:t>
            </w:r>
          </w:p>
        </w:tc>
        <w:tc>
          <w:tcPr>
            <w:tcW w:w="1631" w:type="dxa"/>
            <w:vMerge w:val="restart"/>
            <w:tcBorders>
              <w:bottom w:val="nil"/>
            </w:tcBorders>
            <w:vAlign w:val="top"/>
          </w:tcPr>
          <w:p>
            <w:pPr>
              <w:spacing w:before="236" w:line="232" w:lineRule="auto"/>
              <w:ind w:left="551"/>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994" w:type="dxa"/>
            <w:vMerge w:val="continue"/>
            <w:tcBorders>
              <w:top w:val="nil"/>
            </w:tcBorders>
            <w:vAlign w:val="top"/>
          </w:tcPr>
          <w:p>
            <w:pPr>
              <w:rPr>
                <w:rFonts w:ascii="Arial"/>
                <w:sz w:val="21"/>
              </w:rPr>
            </w:pPr>
          </w:p>
        </w:tc>
        <w:tc>
          <w:tcPr>
            <w:tcW w:w="2692" w:type="dxa"/>
            <w:vAlign w:val="top"/>
          </w:tcPr>
          <w:p>
            <w:pPr>
              <w:spacing w:before="72" w:line="231" w:lineRule="auto"/>
              <w:ind w:left="810"/>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8217" w:type="dxa"/>
            <w:vMerge w:val="continue"/>
            <w:tcBorders>
              <w:top w:val="nil"/>
            </w:tcBorders>
            <w:vAlign w:val="top"/>
          </w:tcPr>
          <w:p>
            <w:pPr>
              <w:rPr>
                <w:rFonts w:ascii="Arial"/>
                <w:sz w:val="21"/>
              </w:rPr>
            </w:pPr>
          </w:p>
        </w:tc>
        <w:tc>
          <w:tcPr>
            <w:tcW w:w="1631" w:type="dxa"/>
            <w:vMerge w:val="continue"/>
            <w:tcBorders>
              <w:top w:val="nil"/>
            </w:tcBorders>
            <w:vAlign w:val="top"/>
          </w:tcPr>
          <w:p>
            <w:pPr>
              <w:rPr>
                <w:rFonts w:ascii="Arial"/>
                <w:sz w:val="21"/>
              </w:rPr>
            </w:pPr>
          </w:p>
        </w:tc>
      </w:tr>
    </w:tbl>
    <w:p>
      <w:pPr>
        <w:rPr>
          <w:rFonts w:ascii="Arial"/>
          <w:sz w:val="21"/>
        </w:rPr>
      </w:pPr>
    </w:p>
    <w:p>
      <w:pPr>
        <w:sectPr>
          <w:pgSz w:w="16839" w:h="11906"/>
          <w:pgMar w:top="1012" w:right="878" w:bottom="0" w:left="1420" w:header="0" w:footer="0" w:gutter="0"/>
          <w:cols w:space="720" w:num="1"/>
        </w:sectPr>
      </w:pPr>
    </w:p>
    <w:p/>
    <w:p/>
    <w:p/>
    <w:p>
      <w:pPr>
        <w:spacing w:line="60" w:lineRule="exact"/>
      </w:pPr>
    </w:p>
    <w:tbl>
      <w:tblPr>
        <w:tblStyle w:val="4"/>
        <w:tblW w:w="14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2692"/>
        <w:gridCol w:w="8217"/>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994" w:type="dxa"/>
            <w:vMerge w:val="restart"/>
            <w:tcBorders>
              <w:bottom w:val="nil"/>
            </w:tcBorders>
            <w:vAlign w:val="top"/>
          </w:tcPr>
          <w:p>
            <w:pPr>
              <w:rPr>
                <w:rFonts w:ascii="Arial"/>
                <w:sz w:val="21"/>
              </w:rPr>
            </w:pPr>
          </w:p>
        </w:tc>
        <w:tc>
          <w:tcPr>
            <w:tcW w:w="2692" w:type="dxa"/>
            <w:vAlign w:val="top"/>
          </w:tcPr>
          <w:p>
            <w:pPr>
              <w:spacing w:before="72" w:line="231" w:lineRule="auto"/>
              <w:ind w:left="1077"/>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8217" w:type="dxa"/>
            <w:vMerge w:val="restart"/>
            <w:tcBorders>
              <w:bottom w:val="nil"/>
            </w:tcBorders>
            <w:vAlign w:val="top"/>
          </w:tcPr>
          <w:p>
            <w:pPr>
              <w:rPr>
                <w:rFonts w:ascii="Arial"/>
                <w:sz w:val="21"/>
              </w:rPr>
            </w:pPr>
          </w:p>
        </w:tc>
        <w:tc>
          <w:tcPr>
            <w:tcW w:w="1631"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continue"/>
            <w:tcBorders>
              <w:top w:val="nil"/>
              <w:bottom w:val="nil"/>
            </w:tcBorders>
            <w:vAlign w:val="top"/>
          </w:tcPr>
          <w:p>
            <w:pPr>
              <w:rPr>
                <w:rFonts w:ascii="Arial"/>
                <w:sz w:val="21"/>
              </w:rPr>
            </w:pPr>
          </w:p>
        </w:tc>
        <w:tc>
          <w:tcPr>
            <w:tcW w:w="2692" w:type="dxa"/>
            <w:vAlign w:val="top"/>
          </w:tcPr>
          <w:p>
            <w:pPr>
              <w:spacing w:before="69" w:line="230" w:lineRule="auto"/>
              <w:ind w:left="810"/>
              <w:rPr>
                <w:rFonts w:ascii="宋体" w:hAnsi="宋体" w:eastAsia="宋体" w:cs="宋体"/>
                <w:sz w:val="17"/>
                <w:szCs w:val="17"/>
              </w:rPr>
            </w:pPr>
            <w:r>
              <w:rPr>
                <w:rFonts w:ascii="宋体" w:hAnsi="宋体" w:eastAsia="宋体" w:cs="宋体"/>
                <w:spacing w:val="12"/>
                <w:sz w:val="17"/>
                <w:szCs w:val="17"/>
              </w:rPr>
              <w:t>退</w:t>
            </w:r>
            <w:r>
              <w:rPr>
                <w:rFonts w:ascii="宋体" w:hAnsi="宋体" w:eastAsia="宋体" w:cs="宋体"/>
                <w:spacing w:val="8"/>
                <w:sz w:val="17"/>
                <w:szCs w:val="17"/>
              </w:rPr>
              <w:t>市板块股份</w:t>
            </w:r>
          </w:p>
        </w:tc>
        <w:tc>
          <w:tcPr>
            <w:tcW w:w="8217" w:type="dxa"/>
            <w:vMerge w:val="continue"/>
            <w:tcBorders>
              <w:top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continue"/>
            <w:tcBorders>
              <w:top w:val="nil"/>
            </w:tcBorders>
            <w:vAlign w:val="top"/>
          </w:tcPr>
          <w:p>
            <w:pPr>
              <w:rPr>
                <w:rFonts w:ascii="Arial"/>
                <w:sz w:val="21"/>
              </w:rPr>
            </w:pPr>
          </w:p>
        </w:tc>
        <w:tc>
          <w:tcPr>
            <w:tcW w:w="2692" w:type="dxa"/>
            <w:vAlign w:val="top"/>
          </w:tcPr>
          <w:p>
            <w:pPr>
              <w:spacing w:before="68" w:line="231" w:lineRule="auto"/>
              <w:ind w:left="719"/>
              <w:rPr>
                <w:rFonts w:ascii="宋体" w:hAnsi="宋体" w:eastAsia="宋体" w:cs="宋体"/>
                <w:sz w:val="17"/>
                <w:szCs w:val="17"/>
              </w:rPr>
            </w:pPr>
            <w:r>
              <w:rPr>
                <w:rFonts w:ascii="宋体" w:hAnsi="宋体" w:eastAsia="宋体" w:cs="宋体"/>
                <w:spacing w:val="13"/>
                <w:sz w:val="17"/>
                <w:szCs w:val="17"/>
              </w:rPr>
              <w:t>可</w:t>
            </w:r>
            <w:r>
              <w:rPr>
                <w:rFonts w:ascii="宋体" w:hAnsi="宋体" w:eastAsia="宋体" w:cs="宋体"/>
                <w:spacing w:val="8"/>
                <w:sz w:val="17"/>
                <w:szCs w:val="17"/>
              </w:rPr>
              <w:t>转换公司债券</w:t>
            </w:r>
          </w:p>
        </w:tc>
        <w:tc>
          <w:tcPr>
            <w:tcW w:w="8217" w:type="dxa"/>
            <w:vAlign w:val="top"/>
          </w:tcPr>
          <w:p>
            <w:pPr>
              <w:spacing w:before="68" w:line="231" w:lineRule="auto"/>
              <w:ind w:left="115"/>
              <w:rPr>
                <w:rFonts w:ascii="宋体" w:hAnsi="宋体" w:eastAsia="宋体" w:cs="宋体"/>
                <w:sz w:val="17"/>
                <w:szCs w:val="17"/>
              </w:rPr>
            </w:pPr>
            <w:r>
              <w:rPr>
                <w:rFonts w:ascii="宋体" w:hAnsi="宋体" w:eastAsia="宋体" w:cs="宋体"/>
                <w:spacing w:val="6"/>
                <w:sz w:val="17"/>
                <w:szCs w:val="17"/>
              </w:rPr>
              <w:t>500 万元以下 (含) 部</w:t>
            </w:r>
            <w:r>
              <w:rPr>
                <w:rFonts w:ascii="宋体" w:hAnsi="宋体" w:eastAsia="宋体" w:cs="宋体"/>
                <w:spacing w:val="3"/>
                <w:sz w:val="17"/>
                <w:szCs w:val="17"/>
              </w:rPr>
              <w:t>分按该部分面值的 0.5‰收取，超 500 万元的部分按该部分面值的 0.05‰收取。</w:t>
            </w:r>
          </w:p>
        </w:tc>
        <w:tc>
          <w:tcPr>
            <w:tcW w:w="16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99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5" w:line="232" w:lineRule="auto"/>
              <w:ind w:left="732"/>
              <w:rPr>
                <w:rFonts w:ascii="宋体" w:hAnsi="宋体" w:eastAsia="宋体" w:cs="宋体"/>
                <w:sz w:val="17"/>
                <w:szCs w:val="17"/>
              </w:rPr>
            </w:pPr>
            <w:r>
              <w:rPr>
                <w:rFonts w:ascii="宋体" w:hAnsi="宋体" w:eastAsia="宋体" w:cs="宋体"/>
                <w:spacing w:val="8"/>
                <w:sz w:val="17"/>
                <w:szCs w:val="17"/>
              </w:rPr>
              <w:t>开</w:t>
            </w:r>
            <w:r>
              <w:rPr>
                <w:rFonts w:ascii="宋体" w:hAnsi="宋体" w:eastAsia="宋体" w:cs="宋体"/>
                <w:spacing w:val="7"/>
                <w:sz w:val="17"/>
                <w:szCs w:val="17"/>
              </w:rPr>
              <w:t>户费</w:t>
            </w:r>
          </w:p>
        </w:tc>
        <w:tc>
          <w:tcPr>
            <w:tcW w:w="2692" w:type="dxa"/>
            <w:vAlign w:val="top"/>
          </w:tcPr>
          <w:p>
            <w:pPr>
              <w:spacing w:line="475" w:lineRule="auto"/>
              <w:rPr>
                <w:rFonts w:ascii="Arial"/>
                <w:sz w:val="21"/>
              </w:rPr>
            </w:pPr>
          </w:p>
          <w:p>
            <w:pPr>
              <w:spacing w:before="55" w:line="232" w:lineRule="auto"/>
              <w:ind w:left="1005"/>
              <w:rPr>
                <w:rFonts w:ascii="宋体" w:hAnsi="宋体" w:eastAsia="宋体" w:cs="宋体"/>
                <w:sz w:val="17"/>
                <w:szCs w:val="17"/>
              </w:rPr>
            </w:pPr>
            <w:r>
              <w:rPr>
                <w:rFonts w:ascii="宋体" w:hAnsi="宋体" w:eastAsia="宋体" w:cs="宋体"/>
                <w:spacing w:val="-1"/>
                <w:sz w:val="17"/>
                <w:szCs w:val="17"/>
              </w:rPr>
              <w:t>A 股账户</w:t>
            </w:r>
          </w:p>
        </w:tc>
        <w:tc>
          <w:tcPr>
            <w:tcW w:w="8217" w:type="dxa"/>
            <w:vAlign w:val="top"/>
          </w:tcPr>
          <w:p>
            <w:pPr>
              <w:spacing w:before="65" w:line="232" w:lineRule="auto"/>
              <w:ind w:left="125"/>
              <w:rPr>
                <w:rFonts w:ascii="宋体" w:hAnsi="宋体" w:eastAsia="宋体" w:cs="宋体"/>
                <w:sz w:val="17"/>
                <w:szCs w:val="17"/>
              </w:rPr>
            </w:pPr>
            <w:r>
              <w:rPr>
                <w:rFonts w:ascii="宋体" w:hAnsi="宋体" w:eastAsia="宋体" w:cs="宋体"/>
                <w:spacing w:val="1"/>
                <w:sz w:val="17"/>
                <w:szCs w:val="17"/>
              </w:rPr>
              <w:t>1、个</w:t>
            </w:r>
            <w:r>
              <w:rPr>
                <w:rFonts w:ascii="宋体" w:hAnsi="宋体" w:eastAsia="宋体" w:cs="宋体"/>
                <w:sz w:val="17"/>
                <w:szCs w:val="17"/>
              </w:rPr>
              <w:t>人 40 元，其中开户代理机构留存 12 元。</w:t>
            </w:r>
          </w:p>
          <w:p>
            <w:pPr>
              <w:spacing w:before="98" w:line="232" w:lineRule="auto"/>
              <w:ind w:left="113"/>
              <w:rPr>
                <w:rFonts w:ascii="宋体" w:hAnsi="宋体" w:eastAsia="宋体" w:cs="宋体"/>
                <w:sz w:val="17"/>
                <w:szCs w:val="17"/>
              </w:rPr>
            </w:pPr>
            <w:r>
              <w:rPr>
                <w:rFonts w:ascii="宋体" w:hAnsi="宋体" w:eastAsia="宋体" w:cs="宋体"/>
                <w:spacing w:val="2"/>
                <w:sz w:val="17"/>
                <w:szCs w:val="17"/>
              </w:rPr>
              <w:t>2、机构/产品 400 元，其中开户代</w:t>
            </w:r>
            <w:r>
              <w:rPr>
                <w:rFonts w:ascii="宋体" w:hAnsi="宋体" w:eastAsia="宋体" w:cs="宋体"/>
                <w:spacing w:val="1"/>
                <w:sz w:val="17"/>
                <w:szCs w:val="17"/>
              </w:rPr>
              <w:t>理机构留存 120 元。</w:t>
            </w:r>
          </w:p>
          <w:p>
            <w:pPr>
              <w:spacing w:before="99" w:line="285" w:lineRule="auto"/>
              <w:ind w:left="111" w:right="187"/>
              <w:rPr>
                <w:rFonts w:ascii="宋体" w:hAnsi="宋体" w:eastAsia="宋体" w:cs="宋体"/>
                <w:sz w:val="17"/>
                <w:szCs w:val="17"/>
              </w:rPr>
            </w:pPr>
            <w:r>
              <w:rPr>
                <w:rFonts w:ascii="宋体" w:hAnsi="宋体" w:eastAsia="宋体" w:cs="宋体"/>
                <w:spacing w:val="10"/>
                <w:sz w:val="17"/>
                <w:szCs w:val="17"/>
              </w:rPr>
              <w:t>注：投资者申</w:t>
            </w:r>
            <w:r>
              <w:rPr>
                <w:rFonts w:ascii="宋体" w:hAnsi="宋体" w:eastAsia="宋体" w:cs="宋体"/>
                <w:spacing w:val="7"/>
                <w:sz w:val="17"/>
                <w:szCs w:val="17"/>
              </w:rPr>
              <w:t>请</w:t>
            </w:r>
            <w:r>
              <w:rPr>
                <w:rFonts w:ascii="宋体" w:hAnsi="宋体" w:eastAsia="宋体" w:cs="宋体"/>
                <w:spacing w:val="5"/>
                <w:sz w:val="17"/>
                <w:szCs w:val="17"/>
              </w:rPr>
              <w:t xml:space="preserve">开立 </w:t>
            </w:r>
            <w:r>
              <w:rPr>
                <w:rFonts w:ascii="宋体" w:hAnsi="宋体" w:eastAsia="宋体" w:cs="宋体"/>
                <w:sz w:val="17"/>
                <w:szCs w:val="17"/>
              </w:rPr>
              <w:t>A</w:t>
            </w:r>
            <w:r>
              <w:rPr>
                <w:rFonts w:ascii="宋体" w:hAnsi="宋体" w:eastAsia="宋体" w:cs="宋体"/>
                <w:spacing w:val="5"/>
                <w:sz w:val="17"/>
                <w:szCs w:val="17"/>
              </w:rPr>
              <w:t xml:space="preserve"> 股账户，应一并申请开立沪深 </w:t>
            </w:r>
            <w:r>
              <w:rPr>
                <w:rFonts w:ascii="宋体" w:hAnsi="宋体" w:eastAsia="宋体" w:cs="宋体"/>
                <w:sz w:val="17"/>
                <w:szCs w:val="17"/>
              </w:rPr>
              <w:t>A</w:t>
            </w:r>
            <w:r>
              <w:rPr>
                <w:rFonts w:ascii="宋体" w:hAnsi="宋体" w:eastAsia="宋体" w:cs="宋体"/>
                <w:spacing w:val="5"/>
                <w:sz w:val="17"/>
                <w:szCs w:val="17"/>
              </w:rPr>
              <w:t xml:space="preserve"> 股账户，收取一笔开户费。投资者确有需要开</w:t>
            </w:r>
            <w:r>
              <w:rPr>
                <w:rFonts w:ascii="宋体" w:hAnsi="宋体" w:eastAsia="宋体" w:cs="宋体"/>
                <w:sz w:val="17"/>
                <w:szCs w:val="17"/>
              </w:rPr>
              <w:t xml:space="preserve"> </w:t>
            </w:r>
            <w:r>
              <w:rPr>
                <w:rFonts w:ascii="宋体" w:hAnsi="宋体" w:eastAsia="宋体" w:cs="宋体"/>
                <w:spacing w:val="3"/>
                <w:sz w:val="17"/>
                <w:szCs w:val="17"/>
              </w:rPr>
              <w:t xml:space="preserve">立单边 </w:t>
            </w:r>
            <w:r>
              <w:rPr>
                <w:rFonts w:ascii="宋体" w:hAnsi="宋体" w:eastAsia="宋体" w:cs="宋体"/>
                <w:sz w:val="17"/>
                <w:szCs w:val="17"/>
              </w:rPr>
              <w:t>A</w:t>
            </w:r>
            <w:r>
              <w:rPr>
                <w:rFonts w:ascii="宋体" w:hAnsi="宋体" w:eastAsia="宋体" w:cs="宋体"/>
                <w:spacing w:val="3"/>
                <w:sz w:val="17"/>
                <w:szCs w:val="17"/>
              </w:rPr>
              <w:t xml:space="preserve"> 股账户的，开户费减半</w:t>
            </w:r>
            <w:r>
              <w:rPr>
                <w:rFonts w:ascii="宋体" w:hAnsi="宋体" w:eastAsia="宋体" w:cs="宋体"/>
                <w:spacing w:val="2"/>
                <w:sz w:val="17"/>
                <w:szCs w:val="17"/>
              </w:rPr>
              <w:t>。</w:t>
            </w:r>
          </w:p>
        </w:tc>
        <w:tc>
          <w:tcPr>
            <w:tcW w:w="1631"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5" w:line="232" w:lineRule="auto"/>
              <w:ind w:left="551"/>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94" w:type="dxa"/>
            <w:vMerge w:val="continue"/>
            <w:tcBorders>
              <w:top w:val="nil"/>
              <w:bottom w:val="nil"/>
            </w:tcBorders>
            <w:vAlign w:val="top"/>
          </w:tcPr>
          <w:p>
            <w:pPr>
              <w:rPr>
                <w:rFonts w:ascii="Arial"/>
                <w:sz w:val="21"/>
              </w:rPr>
            </w:pPr>
          </w:p>
        </w:tc>
        <w:tc>
          <w:tcPr>
            <w:tcW w:w="2692" w:type="dxa"/>
            <w:vAlign w:val="top"/>
          </w:tcPr>
          <w:p>
            <w:pPr>
              <w:spacing w:before="222" w:line="231" w:lineRule="auto"/>
              <w:ind w:left="809"/>
              <w:rPr>
                <w:rFonts w:ascii="宋体" w:hAnsi="宋体" w:eastAsia="宋体" w:cs="宋体"/>
                <w:sz w:val="17"/>
                <w:szCs w:val="17"/>
              </w:rPr>
            </w:pPr>
            <w:r>
              <w:rPr>
                <w:rFonts w:ascii="宋体" w:hAnsi="宋体" w:eastAsia="宋体" w:cs="宋体"/>
                <w:spacing w:val="-5"/>
                <w:sz w:val="17"/>
                <w:szCs w:val="17"/>
              </w:rPr>
              <w:t>深</w:t>
            </w:r>
            <w:r>
              <w:rPr>
                <w:rFonts w:ascii="宋体" w:hAnsi="宋体" w:eastAsia="宋体" w:cs="宋体"/>
                <w:spacing w:val="-4"/>
                <w:sz w:val="17"/>
                <w:szCs w:val="17"/>
              </w:rPr>
              <w:t>市 B 股账户</w:t>
            </w:r>
          </w:p>
        </w:tc>
        <w:tc>
          <w:tcPr>
            <w:tcW w:w="8217" w:type="dxa"/>
            <w:vAlign w:val="top"/>
          </w:tcPr>
          <w:p>
            <w:pPr>
              <w:spacing w:before="65" w:line="232" w:lineRule="auto"/>
              <w:ind w:left="125"/>
              <w:rPr>
                <w:rFonts w:ascii="宋体" w:hAnsi="宋体" w:eastAsia="宋体" w:cs="宋体"/>
                <w:sz w:val="17"/>
                <w:szCs w:val="17"/>
              </w:rPr>
            </w:pPr>
            <w:r>
              <w:rPr>
                <w:rFonts w:ascii="宋体" w:hAnsi="宋体" w:eastAsia="宋体" w:cs="宋体"/>
                <w:spacing w:val="1"/>
                <w:sz w:val="17"/>
                <w:szCs w:val="17"/>
              </w:rPr>
              <w:t>1、个人 120 港元，其中开户代理机构留存 20 港元。</w:t>
            </w:r>
          </w:p>
          <w:p>
            <w:pPr>
              <w:spacing w:before="98" w:line="232" w:lineRule="auto"/>
              <w:ind w:left="113"/>
              <w:rPr>
                <w:rFonts w:ascii="宋体" w:hAnsi="宋体" w:eastAsia="宋体" w:cs="宋体"/>
                <w:sz w:val="17"/>
                <w:szCs w:val="17"/>
              </w:rPr>
            </w:pPr>
            <w:r>
              <w:rPr>
                <w:rFonts w:ascii="宋体" w:hAnsi="宋体" w:eastAsia="宋体" w:cs="宋体"/>
                <w:spacing w:val="2"/>
                <w:sz w:val="17"/>
                <w:szCs w:val="17"/>
              </w:rPr>
              <w:t>2、机构 580 港元</w:t>
            </w:r>
            <w:r>
              <w:rPr>
                <w:rFonts w:ascii="宋体" w:hAnsi="宋体" w:eastAsia="宋体" w:cs="宋体"/>
                <w:spacing w:val="1"/>
                <w:sz w:val="17"/>
                <w:szCs w:val="17"/>
              </w:rPr>
              <w:t>，其中开户代理机构留存 80 港元。</w:t>
            </w: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94" w:type="dxa"/>
            <w:vMerge w:val="continue"/>
            <w:tcBorders>
              <w:top w:val="nil"/>
              <w:bottom w:val="nil"/>
            </w:tcBorders>
            <w:vAlign w:val="top"/>
          </w:tcPr>
          <w:p>
            <w:pPr>
              <w:rPr>
                <w:rFonts w:ascii="Arial"/>
                <w:sz w:val="21"/>
              </w:rPr>
            </w:pPr>
          </w:p>
        </w:tc>
        <w:tc>
          <w:tcPr>
            <w:tcW w:w="2692" w:type="dxa"/>
            <w:vAlign w:val="top"/>
          </w:tcPr>
          <w:p>
            <w:pPr>
              <w:spacing w:before="225" w:line="231" w:lineRule="auto"/>
              <w:ind w:left="989"/>
              <w:rPr>
                <w:rFonts w:ascii="宋体" w:hAnsi="宋体" w:eastAsia="宋体" w:cs="宋体"/>
                <w:sz w:val="17"/>
                <w:szCs w:val="17"/>
              </w:rPr>
            </w:pPr>
            <w:r>
              <w:rPr>
                <w:rFonts w:ascii="宋体" w:hAnsi="宋体" w:eastAsia="宋体" w:cs="宋体"/>
                <w:spacing w:val="8"/>
                <w:sz w:val="17"/>
                <w:szCs w:val="17"/>
              </w:rPr>
              <w:t>信用账户</w:t>
            </w:r>
          </w:p>
        </w:tc>
        <w:tc>
          <w:tcPr>
            <w:tcW w:w="8217" w:type="dxa"/>
            <w:vAlign w:val="top"/>
          </w:tcPr>
          <w:p>
            <w:pPr>
              <w:spacing w:before="68" w:line="232" w:lineRule="auto"/>
              <w:ind w:left="125"/>
              <w:rPr>
                <w:rFonts w:ascii="宋体" w:hAnsi="宋体" w:eastAsia="宋体" w:cs="宋体"/>
                <w:sz w:val="17"/>
                <w:szCs w:val="17"/>
              </w:rPr>
            </w:pPr>
            <w:r>
              <w:rPr>
                <w:rFonts w:ascii="宋体" w:hAnsi="宋体" w:eastAsia="宋体" w:cs="宋体"/>
                <w:spacing w:val="6"/>
                <w:sz w:val="17"/>
                <w:szCs w:val="17"/>
              </w:rPr>
              <w:t xml:space="preserve">1、个人 </w:t>
            </w:r>
            <w:r>
              <w:rPr>
                <w:rFonts w:ascii="宋体" w:hAnsi="宋体" w:eastAsia="宋体" w:cs="宋体"/>
                <w:spacing w:val="4"/>
                <w:sz w:val="17"/>
                <w:szCs w:val="17"/>
              </w:rPr>
              <w:t>4</w:t>
            </w:r>
            <w:r>
              <w:rPr>
                <w:rFonts w:ascii="宋体" w:hAnsi="宋体" w:eastAsia="宋体" w:cs="宋体"/>
                <w:spacing w:val="3"/>
                <w:sz w:val="17"/>
                <w:szCs w:val="17"/>
              </w:rPr>
              <w:t>0 元，其中开户代理机构留存 20 元。</w:t>
            </w:r>
          </w:p>
          <w:p>
            <w:pPr>
              <w:spacing w:before="98" w:line="232" w:lineRule="auto"/>
              <w:ind w:left="113"/>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、机构 400 元，其中开户代理机构留存 200 元。</w:t>
            </w: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Merge w:val="continue"/>
            <w:tcBorders>
              <w:top w:val="nil"/>
            </w:tcBorders>
            <w:vAlign w:val="top"/>
          </w:tcPr>
          <w:p>
            <w:pPr>
              <w:rPr>
                <w:rFonts w:ascii="Arial"/>
                <w:sz w:val="21"/>
              </w:rPr>
            </w:pPr>
          </w:p>
        </w:tc>
        <w:tc>
          <w:tcPr>
            <w:tcW w:w="2692" w:type="dxa"/>
            <w:vAlign w:val="top"/>
          </w:tcPr>
          <w:p>
            <w:pPr>
              <w:spacing w:before="71" w:line="232" w:lineRule="auto"/>
              <w:ind w:left="178"/>
              <w:rPr>
                <w:rFonts w:ascii="宋体" w:hAnsi="宋体" w:eastAsia="宋体" w:cs="宋体"/>
                <w:sz w:val="17"/>
                <w:szCs w:val="17"/>
              </w:rPr>
            </w:pPr>
            <w:r>
              <w:rPr>
                <w:rFonts w:ascii="宋体" w:hAnsi="宋体" w:eastAsia="宋体" w:cs="宋体"/>
                <w:spacing w:val="14"/>
                <w:sz w:val="17"/>
                <w:szCs w:val="17"/>
              </w:rPr>
              <w:t>证</w:t>
            </w:r>
            <w:r>
              <w:rPr>
                <w:rFonts w:ascii="宋体" w:hAnsi="宋体" w:eastAsia="宋体" w:cs="宋体"/>
                <w:spacing w:val="9"/>
                <w:sz w:val="17"/>
                <w:szCs w:val="17"/>
              </w:rPr>
              <w:t>券账户注销、注册资料变更</w:t>
            </w:r>
          </w:p>
        </w:tc>
        <w:tc>
          <w:tcPr>
            <w:tcW w:w="8217" w:type="dxa"/>
            <w:vAlign w:val="top"/>
          </w:tcPr>
          <w:p>
            <w:pPr>
              <w:spacing w:before="71" w:line="232" w:lineRule="auto"/>
              <w:ind w:left="117"/>
              <w:rPr>
                <w:rFonts w:ascii="宋体" w:hAnsi="宋体" w:eastAsia="宋体" w:cs="宋体"/>
                <w:sz w:val="17"/>
                <w:szCs w:val="17"/>
              </w:rPr>
            </w:pPr>
            <w:r>
              <w:rPr>
                <w:rFonts w:ascii="宋体" w:hAnsi="宋体" w:eastAsia="宋体" w:cs="宋体"/>
                <w:spacing w:val="3"/>
                <w:sz w:val="17"/>
                <w:szCs w:val="17"/>
              </w:rPr>
              <w:t>暂</w:t>
            </w:r>
            <w:r>
              <w:rPr>
                <w:rFonts w:ascii="宋体" w:hAnsi="宋体" w:eastAsia="宋体" w:cs="宋体"/>
                <w:spacing w:val="2"/>
                <w:sz w:val="17"/>
                <w:szCs w:val="17"/>
              </w:rPr>
              <w:t>免。</w:t>
            </w:r>
          </w:p>
        </w:tc>
        <w:tc>
          <w:tcPr>
            <w:tcW w:w="16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994"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5" w:line="232" w:lineRule="auto"/>
              <w:ind w:left="372"/>
              <w:rPr>
                <w:rFonts w:ascii="宋体" w:hAnsi="宋体" w:eastAsia="宋体" w:cs="宋体"/>
                <w:sz w:val="17"/>
                <w:szCs w:val="17"/>
              </w:rPr>
            </w:pPr>
            <w:r>
              <w:rPr>
                <w:rFonts w:ascii="宋体" w:hAnsi="宋体" w:eastAsia="宋体" w:cs="宋体"/>
                <w:spacing w:val="9"/>
                <w:sz w:val="17"/>
                <w:szCs w:val="17"/>
              </w:rPr>
              <w:t>证券划转手续</w:t>
            </w:r>
            <w:r>
              <w:rPr>
                <w:rFonts w:ascii="宋体" w:hAnsi="宋体" w:eastAsia="宋体" w:cs="宋体"/>
                <w:spacing w:val="8"/>
                <w:sz w:val="17"/>
                <w:szCs w:val="17"/>
              </w:rPr>
              <w:t>费</w:t>
            </w:r>
          </w:p>
        </w:tc>
        <w:tc>
          <w:tcPr>
            <w:tcW w:w="2692" w:type="dxa"/>
            <w:vAlign w:val="top"/>
          </w:tcPr>
          <w:p>
            <w:pPr>
              <w:spacing w:line="247" w:lineRule="auto"/>
              <w:rPr>
                <w:rFonts w:ascii="Arial"/>
                <w:sz w:val="21"/>
              </w:rPr>
            </w:pPr>
          </w:p>
          <w:p>
            <w:pPr>
              <w:spacing w:before="55" w:line="232" w:lineRule="auto"/>
              <w:ind w:left="993"/>
              <w:rPr>
                <w:rFonts w:ascii="宋体" w:hAnsi="宋体" w:eastAsia="宋体" w:cs="宋体"/>
                <w:sz w:val="17"/>
                <w:szCs w:val="17"/>
              </w:rPr>
            </w:pPr>
            <w:r>
              <w:rPr>
                <w:rFonts w:ascii="宋体" w:hAnsi="宋体" w:eastAsia="宋体" w:cs="宋体"/>
                <w:spacing w:val="7"/>
                <w:sz w:val="17"/>
                <w:szCs w:val="17"/>
              </w:rPr>
              <w:t>融资融券</w:t>
            </w:r>
          </w:p>
        </w:tc>
        <w:tc>
          <w:tcPr>
            <w:tcW w:w="8217" w:type="dxa"/>
            <w:vAlign w:val="top"/>
          </w:tcPr>
          <w:p>
            <w:pPr>
              <w:spacing w:before="148" w:line="345" w:lineRule="auto"/>
              <w:ind w:left="115" w:right="1028" w:hanging="3"/>
              <w:rPr>
                <w:rFonts w:ascii="宋体" w:hAnsi="宋体" w:eastAsia="宋体" w:cs="宋体"/>
                <w:sz w:val="17"/>
                <w:szCs w:val="17"/>
              </w:rPr>
            </w:pPr>
            <w:r>
              <w:rPr>
                <w:rFonts w:ascii="宋体" w:hAnsi="宋体" w:eastAsia="宋体" w:cs="宋体"/>
                <w:spacing w:val="6"/>
                <w:sz w:val="17"/>
                <w:szCs w:val="17"/>
              </w:rPr>
              <w:t>担保证券提交/返还、还券划转：不超过 20 元/指令，其中 10 元上交本公司，暂免收取。</w:t>
            </w:r>
            <w:r>
              <w:rPr>
                <w:rFonts w:ascii="宋体" w:hAnsi="宋体" w:eastAsia="宋体" w:cs="宋体"/>
                <w:sz w:val="17"/>
                <w:szCs w:val="17"/>
              </w:rPr>
              <w:t xml:space="preserve"> </w:t>
            </w:r>
            <w:r>
              <w:rPr>
                <w:rFonts w:ascii="宋体" w:hAnsi="宋体" w:eastAsia="宋体" w:cs="宋体"/>
                <w:spacing w:val="8"/>
                <w:sz w:val="17"/>
                <w:szCs w:val="17"/>
              </w:rPr>
              <w:t>融券券源划转：10 元/指令，暂免收取</w:t>
            </w:r>
            <w:r>
              <w:rPr>
                <w:rFonts w:ascii="宋体" w:hAnsi="宋体" w:eastAsia="宋体" w:cs="宋体"/>
                <w:spacing w:val="6"/>
                <w:sz w:val="17"/>
                <w:szCs w:val="17"/>
              </w:rPr>
              <w:t>。</w:t>
            </w:r>
          </w:p>
        </w:tc>
        <w:tc>
          <w:tcPr>
            <w:tcW w:w="163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5" w:line="232" w:lineRule="auto"/>
              <w:ind w:left="551"/>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994" w:type="dxa"/>
            <w:vMerge w:val="continue"/>
            <w:tcBorders>
              <w:top w:val="nil"/>
              <w:bottom w:val="nil"/>
            </w:tcBorders>
            <w:vAlign w:val="top"/>
          </w:tcPr>
          <w:p>
            <w:pPr>
              <w:rPr>
                <w:rFonts w:ascii="Arial"/>
                <w:sz w:val="21"/>
              </w:rPr>
            </w:pPr>
          </w:p>
        </w:tc>
        <w:tc>
          <w:tcPr>
            <w:tcW w:w="2692" w:type="dxa"/>
            <w:vAlign w:val="top"/>
          </w:tcPr>
          <w:p>
            <w:pPr>
              <w:spacing w:line="248" w:lineRule="auto"/>
              <w:rPr>
                <w:rFonts w:ascii="Arial"/>
                <w:sz w:val="21"/>
              </w:rPr>
            </w:pPr>
          </w:p>
          <w:p>
            <w:pPr>
              <w:spacing w:before="55" w:line="231" w:lineRule="auto"/>
              <w:ind w:left="465"/>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10"/>
                <w:sz w:val="17"/>
                <w:szCs w:val="17"/>
              </w:rPr>
              <w:t xml:space="preserve"> </w:t>
            </w:r>
            <w:r>
              <w:rPr>
                <w:rFonts w:ascii="宋体" w:hAnsi="宋体" w:eastAsia="宋体" w:cs="宋体"/>
                <w:spacing w:val="5"/>
                <w:sz w:val="17"/>
                <w:szCs w:val="17"/>
              </w:rPr>
              <w:t>股所涉做市证券划转</w:t>
            </w:r>
          </w:p>
        </w:tc>
        <w:tc>
          <w:tcPr>
            <w:tcW w:w="8217" w:type="dxa"/>
            <w:vAlign w:val="top"/>
          </w:tcPr>
          <w:p>
            <w:pPr>
              <w:spacing w:line="248" w:lineRule="auto"/>
              <w:rPr>
                <w:rFonts w:ascii="Arial"/>
                <w:sz w:val="21"/>
              </w:rPr>
            </w:pPr>
          </w:p>
          <w:p>
            <w:pPr>
              <w:spacing w:before="55" w:line="231" w:lineRule="auto"/>
              <w:ind w:left="141"/>
              <w:rPr>
                <w:rFonts w:ascii="宋体" w:hAnsi="宋体" w:eastAsia="宋体" w:cs="宋体"/>
                <w:sz w:val="17"/>
                <w:szCs w:val="17"/>
              </w:rPr>
            </w:pPr>
            <w:r>
              <w:rPr>
                <w:rFonts w:ascii="宋体" w:hAnsi="宋体" w:eastAsia="宋体" w:cs="宋体"/>
                <w:spacing w:val="12"/>
                <w:sz w:val="17"/>
                <w:szCs w:val="17"/>
              </w:rPr>
              <w:t>自</w:t>
            </w:r>
            <w:r>
              <w:rPr>
                <w:rFonts w:ascii="宋体" w:hAnsi="宋体" w:eastAsia="宋体" w:cs="宋体"/>
                <w:spacing w:val="6"/>
                <w:sz w:val="17"/>
                <w:szCs w:val="17"/>
              </w:rPr>
              <w:t>营证券账户与做市专用证券账户之间的证券划转业务手续费，每笔 10 元，暂免收取。</w:t>
            </w: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994" w:type="dxa"/>
            <w:vMerge w:val="continue"/>
            <w:tcBorders>
              <w:top w:val="nil"/>
            </w:tcBorders>
            <w:vAlign w:val="top"/>
          </w:tcPr>
          <w:p>
            <w:pPr>
              <w:rPr>
                <w:rFonts w:ascii="Arial"/>
                <w:sz w:val="21"/>
              </w:rPr>
            </w:pPr>
          </w:p>
        </w:tc>
        <w:tc>
          <w:tcPr>
            <w:tcW w:w="2692" w:type="dxa"/>
            <w:vAlign w:val="top"/>
          </w:tcPr>
          <w:p>
            <w:pPr>
              <w:spacing w:before="149" w:line="347" w:lineRule="auto"/>
              <w:ind w:left="1258" w:right="175" w:hanging="1080"/>
              <w:rPr>
                <w:rFonts w:ascii="宋体" w:hAnsi="宋体" w:eastAsia="宋体" w:cs="宋体"/>
                <w:sz w:val="17"/>
                <w:szCs w:val="17"/>
              </w:rPr>
            </w:pPr>
            <w:r>
              <w:rPr>
                <w:rFonts w:ascii="宋体" w:hAnsi="宋体" w:eastAsia="宋体" w:cs="宋体"/>
                <w:spacing w:val="14"/>
                <w:sz w:val="17"/>
                <w:szCs w:val="17"/>
              </w:rPr>
              <w:t>挂</w:t>
            </w:r>
            <w:r>
              <w:rPr>
                <w:rFonts w:ascii="宋体" w:hAnsi="宋体" w:eastAsia="宋体" w:cs="宋体"/>
                <w:spacing w:val="9"/>
                <w:sz w:val="17"/>
                <w:szCs w:val="17"/>
              </w:rPr>
              <w:t>牌公司股份所涉做市证券划</w:t>
            </w:r>
            <w:r>
              <w:rPr>
                <w:rFonts w:ascii="宋体" w:hAnsi="宋体" w:eastAsia="宋体" w:cs="宋体"/>
                <w:sz w:val="17"/>
                <w:szCs w:val="17"/>
              </w:rPr>
              <w:t xml:space="preserve"> </w:t>
            </w:r>
            <w:r>
              <w:rPr>
                <w:rFonts w:ascii="宋体" w:hAnsi="宋体" w:eastAsia="宋体" w:cs="宋体"/>
                <w:spacing w:val="2"/>
                <w:sz w:val="17"/>
                <w:szCs w:val="17"/>
              </w:rPr>
              <w:t>转</w:t>
            </w:r>
          </w:p>
        </w:tc>
        <w:tc>
          <w:tcPr>
            <w:tcW w:w="8217" w:type="dxa"/>
            <w:vAlign w:val="top"/>
          </w:tcPr>
          <w:p>
            <w:pPr>
              <w:spacing w:before="149" w:line="347" w:lineRule="auto"/>
              <w:ind w:left="113" w:right="103" w:firstLine="28"/>
              <w:rPr>
                <w:rFonts w:ascii="宋体" w:hAnsi="宋体" w:eastAsia="宋体" w:cs="宋体"/>
                <w:sz w:val="17"/>
                <w:szCs w:val="17"/>
              </w:rPr>
            </w:pPr>
            <w:r>
              <w:rPr>
                <w:rFonts w:ascii="宋体" w:hAnsi="宋体" w:eastAsia="宋体" w:cs="宋体"/>
                <w:spacing w:val="12"/>
                <w:sz w:val="17"/>
                <w:szCs w:val="17"/>
              </w:rPr>
              <w:t>自营证券账</w:t>
            </w:r>
            <w:r>
              <w:rPr>
                <w:rFonts w:ascii="宋体" w:hAnsi="宋体" w:eastAsia="宋体" w:cs="宋体"/>
                <w:spacing w:val="11"/>
                <w:sz w:val="17"/>
                <w:szCs w:val="17"/>
              </w:rPr>
              <w:t>户</w:t>
            </w:r>
            <w:r>
              <w:rPr>
                <w:rFonts w:ascii="宋体" w:hAnsi="宋体" w:eastAsia="宋体" w:cs="宋体"/>
                <w:spacing w:val="6"/>
                <w:sz w:val="17"/>
                <w:szCs w:val="17"/>
              </w:rPr>
              <w:t>与做市专用证券账户之间的证券划转业务手续费，每笔 10 元，暂免收取；做市商协议受</w:t>
            </w:r>
            <w:r>
              <w:rPr>
                <w:rFonts w:ascii="宋体" w:hAnsi="宋体" w:eastAsia="宋体" w:cs="宋体"/>
                <w:sz w:val="17"/>
                <w:szCs w:val="17"/>
              </w:rPr>
              <w:t xml:space="preserve"> </w:t>
            </w:r>
            <w:r>
              <w:rPr>
                <w:rFonts w:ascii="宋体" w:hAnsi="宋体" w:eastAsia="宋体" w:cs="宋体"/>
                <w:spacing w:val="18"/>
                <w:sz w:val="17"/>
                <w:szCs w:val="17"/>
              </w:rPr>
              <w:t>让</w:t>
            </w:r>
            <w:r>
              <w:rPr>
                <w:rFonts w:ascii="宋体" w:hAnsi="宋体" w:eastAsia="宋体" w:cs="宋体"/>
                <w:spacing w:val="9"/>
                <w:sz w:val="17"/>
                <w:szCs w:val="17"/>
              </w:rPr>
              <w:t>原股东证券的划转业务手续费，参照非交易过户费标准收取。</w:t>
            </w:r>
          </w:p>
        </w:tc>
        <w:tc>
          <w:tcPr>
            <w:tcW w:w="1631" w:type="dxa"/>
            <w:vMerge w:val="continue"/>
            <w:tcBorders>
              <w:top w:val="nil"/>
            </w:tcBorders>
            <w:vAlign w:val="top"/>
          </w:tcPr>
          <w:p>
            <w:pPr>
              <w:rPr>
                <w:rFonts w:ascii="Arial"/>
                <w:sz w:val="21"/>
              </w:rPr>
            </w:pPr>
          </w:p>
        </w:tc>
      </w:tr>
    </w:tbl>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4" w:line="220" w:lineRule="auto"/>
        <w:ind w:left="3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结</w:t>
      </w:r>
      <w:r>
        <w:rPr>
          <w:rFonts w:ascii="宋体" w:hAnsi="宋体" w:eastAsia="宋体" w:cs="宋体"/>
          <w:spacing w:val="9"/>
          <w:sz w:val="23"/>
          <w:szCs w:val="23"/>
          <w14:textOutline w14:w="4358" w14:cap="sq" w14:cmpd="sng">
            <w14:solidFill>
              <w14:srgbClr w14:val="000000"/>
            </w14:solidFill>
            <w14:prstDash w14:val="solid"/>
            <w14:bevel/>
          </w14:textOutline>
        </w:rPr>
        <w:t>算参与人业务收费</w:t>
      </w:r>
    </w:p>
    <w:tbl>
      <w:tblPr>
        <w:tblStyle w:val="4"/>
        <w:tblW w:w="14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2692"/>
        <w:gridCol w:w="8217"/>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1994" w:type="dxa"/>
            <w:vAlign w:val="top"/>
          </w:tcPr>
          <w:p>
            <w:pPr>
              <w:spacing w:before="115" w:line="231" w:lineRule="auto"/>
              <w:ind w:left="647"/>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费项目</w:t>
            </w:r>
          </w:p>
        </w:tc>
        <w:tc>
          <w:tcPr>
            <w:tcW w:w="2692" w:type="dxa"/>
            <w:vAlign w:val="top"/>
          </w:tcPr>
          <w:p>
            <w:pPr>
              <w:spacing w:before="114" w:line="232" w:lineRule="auto"/>
              <w:ind w:left="98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证券品</w:t>
            </w:r>
            <w:r>
              <w:rPr>
                <w:rFonts w:ascii="宋体" w:hAnsi="宋体" w:eastAsia="宋体" w:cs="宋体"/>
                <w:spacing w:val="8"/>
                <w:sz w:val="17"/>
                <w:szCs w:val="17"/>
                <w14:textOutline w14:w="3268" w14:cap="sq" w14:cmpd="sng">
                  <w14:solidFill>
                    <w14:srgbClr w14:val="000000"/>
                  </w14:solidFill>
                  <w14:prstDash w14:val="solid"/>
                  <w14:bevel/>
                </w14:textOutline>
              </w:rPr>
              <w:t>种</w:t>
            </w:r>
          </w:p>
        </w:tc>
        <w:tc>
          <w:tcPr>
            <w:tcW w:w="8217" w:type="dxa"/>
            <w:vAlign w:val="top"/>
          </w:tcPr>
          <w:p>
            <w:pPr>
              <w:spacing w:before="115" w:line="231" w:lineRule="auto"/>
              <w:ind w:left="375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费标准</w:t>
            </w:r>
          </w:p>
        </w:tc>
        <w:tc>
          <w:tcPr>
            <w:tcW w:w="1631" w:type="dxa"/>
            <w:vAlign w:val="top"/>
          </w:tcPr>
          <w:p>
            <w:pPr>
              <w:spacing w:before="115" w:line="231" w:lineRule="auto"/>
              <w:ind w:left="46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94" w:type="dxa"/>
            <w:vAlign w:val="top"/>
          </w:tcPr>
          <w:p>
            <w:pPr>
              <w:spacing w:before="70" w:line="231" w:lineRule="auto"/>
              <w:ind w:left="736"/>
              <w:rPr>
                <w:rFonts w:ascii="宋体" w:hAnsi="宋体" w:eastAsia="宋体" w:cs="宋体"/>
                <w:sz w:val="17"/>
                <w:szCs w:val="17"/>
              </w:rPr>
            </w:pPr>
            <w:r>
              <w:rPr>
                <w:rFonts w:ascii="宋体" w:hAnsi="宋体" w:eastAsia="宋体" w:cs="宋体"/>
                <w:spacing w:val="6"/>
                <w:sz w:val="17"/>
                <w:szCs w:val="17"/>
              </w:rPr>
              <w:t>结算费</w:t>
            </w:r>
          </w:p>
        </w:tc>
        <w:tc>
          <w:tcPr>
            <w:tcW w:w="2692" w:type="dxa"/>
            <w:vAlign w:val="top"/>
          </w:tcPr>
          <w:p>
            <w:pPr>
              <w:spacing w:before="70" w:line="233" w:lineRule="auto"/>
              <w:ind w:left="1185"/>
              <w:rPr>
                <w:rFonts w:ascii="宋体" w:hAnsi="宋体" w:eastAsia="宋体" w:cs="宋体"/>
                <w:sz w:val="17"/>
                <w:szCs w:val="17"/>
              </w:rPr>
            </w:pPr>
            <w:r>
              <w:rPr>
                <w:rFonts w:ascii="宋体" w:hAnsi="宋体" w:eastAsia="宋体" w:cs="宋体"/>
                <w:spacing w:val="-8"/>
                <w:sz w:val="17"/>
                <w:szCs w:val="17"/>
              </w:rPr>
              <w:t>A</w:t>
            </w:r>
            <w:r>
              <w:rPr>
                <w:rFonts w:ascii="宋体" w:hAnsi="宋体" w:eastAsia="宋体" w:cs="宋体"/>
                <w:spacing w:val="-9"/>
                <w:sz w:val="17"/>
                <w:szCs w:val="17"/>
              </w:rPr>
              <w:t xml:space="preserve"> </w:t>
            </w:r>
            <w:r>
              <w:rPr>
                <w:rFonts w:ascii="宋体" w:hAnsi="宋体" w:eastAsia="宋体" w:cs="宋体"/>
                <w:spacing w:val="-8"/>
                <w:sz w:val="17"/>
                <w:szCs w:val="17"/>
              </w:rPr>
              <w:t>股</w:t>
            </w:r>
          </w:p>
        </w:tc>
        <w:tc>
          <w:tcPr>
            <w:tcW w:w="8217" w:type="dxa"/>
            <w:vAlign w:val="top"/>
          </w:tcPr>
          <w:p>
            <w:pPr>
              <w:spacing w:before="70" w:line="231" w:lineRule="auto"/>
              <w:ind w:left="113"/>
              <w:rPr>
                <w:rFonts w:ascii="宋体" w:hAnsi="宋体" w:eastAsia="宋体" w:cs="宋体"/>
                <w:sz w:val="17"/>
                <w:szCs w:val="17"/>
              </w:rPr>
            </w:pPr>
            <w:r>
              <w:rPr>
                <w:rFonts w:ascii="宋体" w:hAnsi="宋体" w:eastAsia="宋体" w:cs="宋体"/>
                <w:spacing w:val="10"/>
                <w:sz w:val="17"/>
                <w:szCs w:val="17"/>
              </w:rPr>
              <w:t>按成</w:t>
            </w:r>
            <w:r>
              <w:rPr>
                <w:rFonts w:ascii="宋体" w:hAnsi="宋体" w:eastAsia="宋体" w:cs="宋体"/>
                <w:spacing w:val="5"/>
                <w:sz w:val="17"/>
                <w:szCs w:val="17"/>
              </w:rPr>
              <w:t>交金额的 0.1‰双边收取，暂免。</w:t>
            </w:r>
          </w:p>
        </w:tc>
        <w:tc>
          <w:tcPr>
            <w:tcW w:w="1631" w:type="dxa"/>
            <w:vAlign w:val="top"/>
          </w:tcPr>
          <w:p>
            <w:pPr>
              <w:spacing w:before="70" w:line="231" w:lineRule="auto"/>
              <w:ind w:left="373"/>
              <w:rPr>
                <w:rFonts w:ascii="宋体" w:hAnsi="宋体" w:eastAsia="宋体" w:cs="宋体"/>
                <w:sz w:val="17"/>
                <w:szCs w:val="17"/>
              </w:rPr>
            </w:pPr>
            <w:r>
              <w:rPr>
                <w:rFonts w:ascii="宋体" w:hAnsi="宋体" w:eastAsia="宋体" w:cs="宋体"/>
                <w:spacing w:val="10"/>
                <w:sz w:val="17"/>
                <w:szCs w:val="17"/>
              </w:rPr>
              <w:t>结</w:t>
            </w:r>
            <w:r>
              <w:rPr>
                <w:rFonts w:ascii="宋体" w:hAnsi="宋体" w:eastAsia="宋体" w:cs="宋体"/>
                <w:spacing w:val="7"/>
                <w:sz w:val="17"/>
                <w:szCs w:val="17"/>
              </w:rPr>
              <w:t>算参与人</w:t>
            </w:r>
          </w:p>
        </w:tc>
      </w:tr>
    </w:tbl>
    <w:p>
      <w:pPr>
        <w:rPr>
          <w:rFonts w:ascii="Arial"/>
          <w:sz w:val="21"/>
        </w:rPr>
      </w:pPr>
    </w:p>
    <w:p>
      <w:pPr>
        <w:sectPr>
          <w:pgSz w:w="16839" w:h="11906"/>
          <w:pgMar w:top="1012" w:right="878" w:bottom="0" w:left="1420" w:header="0" w:footer="0" w:gutter="0"/>
          <w:cols w:space="720" w:num="1"/>
        </w:sectPr>
      </w:pPr>
    </w:p>
    <w:p/>
    <w:p/>
    <w:p/>
    <w:p>
      <w:pPr>
        <w:spacing w:line="60" w:lineRule="exact"/>
      </w:pPr>
    </w:p>
    <w:tbl>
      <w:tblPr>
        <w:tblStyle w:val="4"/>
        <w:tblW w:w="14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2692"/>
        <w:gridCol w:w="8217"/>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994" w:type="dxa"/>
            <w:vMerge w:val="restart"/>
            <w:tcBorders>
              <w:bottom w:val="nil"/>
            </w:tcBorders>
            <w:vAlign w:val="top"/>
          </w:tcPr>
          <w:p>
            <w:pPr>
              <w:rPr>
                <w:rFonts w:ascii="Arial"/>
                <w:sz w:val="21"/>
              </w:rPr>
            </w:pPr>
          </w:p>
        </w:tc>
        <w:tc>
          <w:tcPr>
            <w:tcW w:w="2692" w:type="dxa"/>
            <w:vAlign w:val="top"/>
          </w:tcPr>
          <w:p>
            <w:pPr>
              <w:spacing w:before="72" w:line="231" w:lineRule="auto"/>
              <w:ind w:left="810"/>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8217" w:type="dxa"/>
            <w:vAlign w:val="top"/>
          </w:tcPr>
          <w:p>
            <w:pPr>
              <w:rPr>
                <w:rFonts w:ascii="Arial"/>
                <w:sz w:val="21"/>
              </w:rPr>
            </w:pPr>
          </w:p>
        </w:tc>
        <w:tc>
          <w:tcPr>
            <w:tcW w:w="16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994" w:type="dxa"/>
            <w:vMerge w:val="continue"/>
            <w:tcBorders>
              <w:top w:val="nil"/>
            </w:tcBorders>
            <w:vAlign w:val="top"/>
          </w:tcPr>
          <w:p>
            <w:pPr>
              <w:rPr>
                <w:rFonts w:ascii="Arial"/>
                <w:sz w:val="21"/>
              </w:rPr>
            </w:pPr>
          </w:p>
        </w:tc>
        <w:tc>
          <w:tcPr>
            <w:tcW w:w="2692" w:type="dxa"/>
            <w:vAlign w:val="top"/>
          </w:tcPr>
          <w:p>
            <w:pPr>
              <w:spacing w:line="323" w:lineRule="auto"/>
              <w:rPr>
                <w:rFonts w:ascii="Arial"/>
                <w:sz w:val="21"/>
              </w:rPr>
            </w:pPr>
          </w:p>
          <w:p>
            <w:pPr>
              <w:spacing w:before="56" w:line="230" w:lineRule="auto"/>
              <w:ind w:left="810"/>
              <w:rPr>
                <w:rFonts w:ascii="宋体" w:hAnsi="宋体" w:eastAsia="宋体" w:cs="宋体"/>
                <w:sz w:val="17"/>
                <w:szCs w:val="17"/>
              </w:rPr>
            </w:pPr>
            <w:r>
              <w:rPr>
                <w:rFonts w:ascii="宋体" w:hAnsi="宋体" w:eastAsia="宋体" w:cs="宋体"/>
                <w:spacing w:val="12"/>
                <w:sz w:val="17"/>
                <w:szCs w:val="17"/>
              </w:rPr>
              <w:t>退</w:t>
            </w:r>
            <w:r>
              <w:rPr>
                <w:rFonts w:ascii="宋体" w:hAnsi="宋体" w:eastAsia="宋体" w:cs="宋体"/>
                <w:spacing w:val="8"/>
                <w:sz w:val="17"/>
                <w:szCs w:val="17"/>
              </w:rPr>
              <w:t>市板块股份</w:t>
            </w:r>
          </w:p>
        </w:tc>
        <w:tc>
          <w:tcPr>
            <w:tcW w:w="8217" w:type="dxa"/>
            <w:vAlign w:val="top"/>
          </w:tcPr>
          <w:p>
            <w:pPr>
              <w:spacing w:before="68" w:line="231" w:lineRule="auto"/>
              <w:ind w:left="112"/>
              <w:rPr>
                <w:rFonts w:ascii="宋体" w:hAnsi="宋体" w:eastAsia="宋体" w:cs="宋体"/>
                <w:sz w:val="17"/>
                <w:szCs w:val="17"/>
              </w:rPr>
            </w:pPr>
            <w:r>
              <w:rPr>
                <w:rFonts w:ascii="宋体" w:hAnsi="宋体" w:eastAsia="宋体" w:cs="宋体"/>
                <w:spacing w:val="-4"/>
                <w:sz w:val="17"/>
                <w:szCs w:val="17"/>
              </w:rPr>
              <w:t>退</w:t>
            </w:r>
            <w:r>
              <w:rPr>
                <w:rFonts w:ascii="宋体" w:hAnsi="宋体" w:eastAsia="宋体" w:cs="宋体"/>
                <w:spacing w:val="-3"/>
                <w:sz w:val="17"/>
                <w:szCs w:val="17"/>
              </w:rPr>
              <w:t>市</w:t>
            </w:r>
            <w:r>
              <w:rPr>
                <w:rFonts w:ascii="宋体" w:hAnsi="宋体" w:eastAsia="宋体" w:cs="宋体"/>
                <w:spacing w:val="-2"/>
                <w:sz w:val="17"/>
                <w:szCs w:val="17"/>
              </w:rPr>
              <w:t xml:space="preserve"> A 股：免费。</w:t>
            </w:r>
          </w:p>
          <w:p>
            <w:pPr>
              <w:spacing w:before="99" w:line="285" w:lineRule="auto"/>
              <w:ind w:left="114" w:right="141" w:hanging="2"/>
              <w:rPr>
                <w:rFonts w:ascii="宋体" w:hAnsi="宋体" w:eastAsia="宋体" w:cs="宋体"/>
                <w:sz w:val="17"/>
                <w:szCs w:val="17"/>
              </w:rPr>
            </w:pPr>
            <w:r>
              <w:rPr>
                <w:rFonts w:ascii="宋体" w:hAnsi="宋体" w:eastAsia="宋体" w:cs="宋体"/>
                <w:spacing w:val="12"/>
                <w:sz w:val="17"/>
                <w:szCs w:val="17"/>
              </w:rPr>
              <w:t>退</w:t>
            </w:r>
            <w:r>
              <w:rPr>
                <w:rFonts w:ascii="宋体" w:hAnsi="宋体" w:eastAsia="宋体" w:cs="宋体"/>
                <w:spacing w:val="7"/>
                <w:sz w:val="17"/>
                <w:szCs w:val="17"/>
              </w:rPr>
              <w:t>市</w:t>
            </w:r>
            <w:r>
              <w:rPr>
                <w:rFonts w:ascii="宋体" w:hAnsi="宋体" w:eastAsia="宋体" w:cs="宋体"/>
                <w:spacing w:val="6"/>
                <w:sz w:val="17"/>
                <w:szCs w:val="17"/>
              </w:rPr>
              <w:t xml:space="preserve"> </w:t>
            </w:r>
            <w:r>
              <w:rPr>
                <w:rFonts w:ascii="宋体" w:hAnsi="宋体" w:eastAsia="宋体" w:cs="宋体"/>
                <w:sz w:val="17"/>
                <w:szCs w:val="17"/>
              </w:rPr>
              <w:t>B</w:t>
            </w:r>
            <w:r>
              <w:rPr>
                <w:rFonts w:ascii="宋体" w:hAnsi="宋体" w:eastAsia="宋体" w:cs="宋体"/>
                <w:spacing w:val="6"/>
                <w:sz w:val="17"/>
                <w:szCs w:val="17"/>
              </w:rPr>
              <w:t xml:space="preserve"> 股：按成交金额的 0.02‰向买卖双方投资者收取 (同一投资者同一证券单边计收) ，每笔最高</w:t>
            </w:r>
            <w:r>
              <w:rPr>
                <w:rFonts w:ascii="宋体" w:hAnsi="宋体" w:eastAsia="宋体" w:cs="宋体"/>
                <w:sz w:val="17"/>
                <w:szCs w:val="17"/>
              </w:rPr>
              <w:t xml:space="preserve"> </w:t>
            </w:r>
            <w:r>
              <w:rPr>
                <w:rFonts w:ascii="宋体" w:hAnsi="宋体" w:eastAsia="宋体" w:cs="宋体"/>
                <w:spacing w:val="-6"/>
                <w:sz w:val="17"/>
                <w:szCs w:val="17"/>
              </w:rPr>
              <w:t>5</w:t>
            </w:r>
            <w:r>
              <w:rPr>
                <w:rFonts w:ascii="宋体" w:hAnsi="宋体" w:eastAsia="宋体" w:cs="宋体"/>
                <w:spacing w:val="-3"/>
                <w:sz w:val="17"/>
                <w:szCs w:val="17"/>
              </w:rPr>
              <w:t>0 美元。</w:t>
            </w:r>
          </w:p>
        </w:tc>
        <w:tc>
          <w:tcPr>
            <w:tcW w:w="1631" w:type="dxa"/>
            <w:vAlign w:val="top"/>
          </w:tcPr>
          <w:p>
            <w:pPr>
              <w:spacing w:line="323" w:lineRule="auto"/>
              <w:rPr>
                <w:rFonts w:ascii="Arial"/>
                <w:sz w:val="21"/>
              </w:rPr>
            </w:pPr>
          </w:p>
          <w:p>
            <w:pPr>
              <w:spacing w:before="55" w:line="232" w:lineRule="auto"/>
              <w:ind w:left="551"/>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bl>
    <w:p>
      <w:pPr>
        <w:spacing w:line="272" w:lineRule="auto"/>
        <w:rPr>
          <w:rFonts w:ascii="Arial"/>
          <w:sz w:val="21"/>
        </w:rPr>
      </w:pPr>
    </w:p>
    <w:p>
      <w:pPr>
        <w:spacing w:before="75" w:line="221" w:lineRule="auto"/>
        <w:ind w:left="2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代</w:t>
      </w:r>
      <w:r>
        <w:rPr>
          <w:rFonts w:ascii="宋体" w:hAnsi="宋体" w:eastAsia="宋体" w:cs="宋体"/>
          <w:spacing w:val="8"/>
          <w:sz w:val="23"/>
          <w:szCs w:val="23"/>
          <w14:textOutline w14:w="4358" w14:cap="sq" w14:cmpd="sng">
            <w14:solidFill>
              <w14:srgbClr w14:val="000000"/>
            </w14:solidFill>
            <w14:prstDash w14:val="solid"/>
            <w14:bevel/>
          </w14:textOutline>
        </w:rPr>
        <w:t>收税费</w:t>
      </w:r>
    </w:p>
    <w:tbl>
      <w:tblPr>
        <w:tblStyle w:val="4"/>
        <w:tblW w:w="14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9"/>
        <w:gridCol w:w="1842"/>
        <w:gridCol w:w="2408"/>
        <w:gridCol w:w="6234"/>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419" w:type="dxa"/>
            <w:vAlign w:val="top"/>
          </w:tcPr>
          <w:p>
            <w:pPr>
              <w:spacing w:before="116" w:line="231" w:lineRule="auto"/>
              <w:ind w:left="67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最终收费单</w:t>
            </w:r>
            <w:r>
              <w:rPr>
                <w:rFonts w:ascii="宋体" w:hAnsi="宋体" w:eastAsia="宋体" w:cs="宋体"/>
                <w:spacing w:val="8"/>
                <w:sz w:val="17"/>
                <w:szCs w:val="17"/>
                <w14:textOutline w14:w="3268" w14:cap="sq" w14:cmpd="sng">
                  <w14:solidFill>
                    <w14:srgbClr w14:val="000000"/>
                  </w14:solidFill>
                  <w14:prstDash w14:val="solid"/>
                  <w14:bevel/>
                </w14:textOutline>
              </w:rPr>
              <w:t>位</w:t>
            </w:r>
          </w:p>
        </w:tc>
        <w:tc>
          <w:tcPr>
            <w:tcW w:w="1842" w:type="dxa"/>
            <w:vAlign w:val="top"/>
          </w:tcPr>
          <w:p>
            <w:pPr>
              <w:spacing w:before="116" w:line="231" w:lineRule="auto"/>
              <w:ind w:left="570"/>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费项目</w:t>
            </w:r>
          </w:p>
        </w:tc>
        <w:tc>
          <w:tcPr>
            <w:tcW w:w="2408" w:type="dxa"/>
            <w:vAlign w:val="top"/>
          </w:tcPr>
          <w:p>
            <w:pPr>
              <w:spacing w:before="116" w:line="232" w:lineRule="auto"/>
              <w:ind w:left="848"/>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证券品</w:t>
            </w:r>
            <w:r>
              <w:rPr>
                <w:rFonts w:ascii="宋体" w:hAnsi="宋体" w:eastAsia="宋体" w:cs="宋体"/>
                <w:spacing w:val="8"/>
                <w:sz w:val="17"/>
                <w:szCs w:val="17"/>
                <w14:textOutline w14:w="3268" w14:cap="sq" w14:cmpd="sng">
                  <w14:solidFill>
                    <w14:srgbClr w14:val="000000"/>
                  </w14:solidFill>
                  <w14:prstDash w14:val="solid"/>
                  <w14:bevel/>
                </w14:textOutline>
              </w:rPr>
              <w:t>种</w:t>
            </w:r>
          </w:p>
        </w:tc>
        <w:tc>
          <w:tcPr>
            <w:tcW w:w="6234" w:type="dxa"/>
            <w:vAlign w:val="top"/>
          </w:tcPr>
          <w:p>
            <w:pPr>
              <w:spacing w:before="116" w:line="231" w:lineRule="auto"/>
              <w:ind w:left="2769"/>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费标准</w:t>
            </w:r>
          </w:p>
        </w:tc>
        <w:tc>
          <w:tcPr>
            <w:tcW w:w="1631" w:type="dxa"/>
            <w:vAlign w:val="top"/>
          </w:tcPr>
          <w:p>
            <w:pPr>
              <w:spacing w:before="116" w:line="231" w:lineRule="auto"/>
              <w:ind w:left="46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5" w:line="230" w:lineRule="auto"/>
              <w:ind w:left="692"/>
              <w:rPr>
                <w:rFonts w:ascii="宋体" w:hAnsi="宋体" w:eastAsia="宋体" w:cs="宋体"/>
                <w:sz w:val="17"/>
                <w:szCs w:val="17"/>
              </w:rPr>
            </w:pPr>
            <w:r>
              <w:rPr>
                <w:rFonts w:ascii="宋体" w:hAnsi="宋体" w:eastAsia="宋体" w:cs="宋体"/>
                <w:spacing w:val="6"/>
                <w:sz w:val="17"/>
                <w:szCs w:val="17"/>
              </w:rPr>
              <w:t>国家税务机</w:t>
            </w:r>
            <w:r>
              <w:rPr>
                <w:rFonts w:ascii="宋体" w:hAnsi="宋体" w:eastAsia="宋体" w:cs="宋体"/>
                <w:spacing w:val="5"/>
                <w:sz w:val="17"/>
                <w:szCs w:val="17"/>
              </w:rPr>
              <w:t>关</w:t>
            </w:r>
          </w:p>
        </w:tc>
        <w:tc>
          <w:tcPr>
            <w:tcW w:w="1842"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before="55" w:line="231" w:lineRule="auto"/>
              <w:ind w:left="293"/>
              <w:rPr>
                <w:rFonts w:ascii="宋体" w:hAnsi="宋体" w:eastAsia="宋体" w:cs="宋体"/>
                <w:sz w:val="17"/>
                <w:szCs w:val="17"/>
              </w:rPr>
            </w:pPr>
            <w:r>
              <w:rPr>
                <w:rFonts w:ascii="宋体" w:hAnsi="宋体" w:eastAsia="宋体" w:cs="宋体"/>
                <w:spacing w:val="9"/>
                <w:sz w:val="17"/>
                <w:szCs w:val="17"/>
              </w:rPr>
              <w:t>证券交易印花</w:t>
            </w:r>
            <w:r>
              <w:rPr>
                <w:rFonts w:ascii="宋体" w:hAnsi="宋体" w:eastAsia="宋体" w:cs="宋体"/>
                <w:spacing w:val="8"/>
                <w:sz w:val="17"/>
                <w:szCs w:val="17"/>
              </w:rPr>
              <w:t>税</w:t>
            </w:r>
          </w:p>
        </w:tc>
        <w:tc>
          <w:tcPr>
            <w:tcW w:w="2408" w:type="dxa"/>
            <w:vAlign w:val="top"/>
          </w:tcPr>
          <w:p>
            <w:pPr>
              <w:spacing w:before="70" w:line="233" w:lineRule="auto"/>
              <w:ind w:left="1044"/>
              <w:rPr>
                <w:rFonts w:ascii="宋体" w:hAnsi="宋体" w:eastAsia="宋体" w:cs="宋体"/>
                <w:sz w:val="17"/>
                <w:szCs w:val="17"/>
              </w:rPr>
            </w:pPr>
            <w:r>
              <w:rPr>
                <w:rFonts w:ascii="宋体" w:hAnsi="宋体" w:eastAsia="宋体" w:cs="宋体"/>
                <w:spacing w:val="-9"/>
                <w:sz w:val="17"/>
                <w:szCs w:val="17"/>
              </w:rPr>
              <w:t>A</w:t>
            </w:r>
            <w:r>
              <w:rPr>
                <w:rFonts w:ascii="宋体" w:hAnsi="宋体" w:eastAsia="宋体" w:cs="宋体"/>
                <w:spacing w:val="-10"/>
                <w:sz w:val="17"/>
                <w:szCs w:val="17"/>
              </w:rPr>
              <w:t xml:space="preserve"> </w:t>
            </w:r>
            <w:r>
              <w:rPr>
                <w:rFonts w:ascii="宋体" w:hAnsi="宋体" w:eastAsia="宋体" w:cs="宋体"/>
                <w:spacing w:val="-9"/>
                <w:sz w:val="17"/>
                <w:szCs w:val="17"/>
              </w:rPr>
              <w:t>股</w:t>
            </w:r>
          </w:p>
        </w:tc>
        <w:tc>
          <w:tcPr>
            <w:tcW w:w="6234"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before="55" w:line="231" w:lineRule="auto"/>
              <w:ind w:left="115"/>
              <w:rPr>
                <w:rFonts w:ascii="宋体" w:hAnsi="宋体" w:eastAsia="宋体" w:cs="宋体"/>
                <w:sz w:val="17"/>
                <w:szCs w:val="17"/>
              </w:rPr>
            </w:pPr>
            <w:r>
              <w:rPr>
                <w:rFonts w:ascii="宋体" w:hAnsi="宋体" w:eastAsia="宋体" w:cs="宋体"/>
                <w:spacing w:val="12"/>
                <w:sz w:val="17"/>
                <w:szCs w:val="17"/>
              </w:rPr>
              <w:t>按</w:t>
            </w:r>
            <w:r>
              <w:rPr>
                <w:rFonts w:ascii="宋体" w:hAnsi="宋体" w:eastAsia="宋体" w:cs="宋体"/>
                <w:spacing w:val="9"/>
                <w:sz w:val="17"/>
                <w:szCs w:val="17"/>
              </w:rPr>
              <w:t>成</w:t>
            </w:r>
            <w:r>
              <w:rPr>
                <w:rFonts w:ascii="宋体" w:hAnsi="宋体" w:eastAsia="宋体" w:cs="宋体"/>
                <w:spacing w:val="6"/>
                <w:sz w:val="17"/>
                <w:szCs w:val="17"/>
              </w:rPr>
              <w:t>交金额的 1‰向出让方收取，减半征收。</w:t>
            </w:r>
          </w:p>
        </w:tc>
        <w:tc>
          <w:tcPr>
            <w:tcW w:w="163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5" w:line="232" w:lineRule="auto"/>
              <w:ind w:left="551"/>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19"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2408" w:type="dxa"/>
            <w:vAlign w:val="top"/>
          </w:tcPr>
          <w:p>
            <w:pPr>
              <w:spacing w:before="69" w:line="231" w:lineRule="auto"/>
              <w:ind w:left="669"/>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6234" w:type="dxa"/>
            <w:vMerge w:val="continue"/>
            <w:tcBorders>
              <w:top w:val="nil"/>
              <w:bottom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9"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2408" w:type="dxa"/>
            <w:vAlign w:val="top"/>
          </w:tcPr>
          <w:p>
            <w:pPr>
              <w:spacing w:before="69" w:line="231" w:lineRule="auto"/>
              <w:ind w:left="936"/>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6234" w:type="dxa"/>
            <w:vMerge w:val="continue"/>
            <w:tcBorders>
              <w:top w:val="nil"/>
              <w:bottom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9" w:type="dxa"/>
            <w:vMerge w:val="continue"/>
            <w:tcBorders>
              <w:top w:val="nil"/>
              <w:bottom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2408" w:type="dxa"/>
            <w:vAlign w:val="top"/>
          </w:tcPr>
          <w:p>
            <w:pPr>
              <w:spacing w:before="69" w:line="230" w:lineRule="auto"/>
              <w:ind w:left="669"/>
              <w:rPr>
                <w:rFonts w:ascii="宋体" w:hAnsi="宋体" w:eastAsia="宋体" w:cs="宋体"/>
                <w:sz w:val="17"/>
                <w:szCs w:val="17"/>
              </w:rPr>
            </w:pPr>
            <w:r>
              <w:rPr>
                <w:rFonts w:ascii="宋体" w:hAnsi="宋体" w:eastAsia="宋体" w:cs="宋体"/>
                <w:spacing w:val="12"/>
                <w:sz w:val="17"/>
                <w:szCs w:val="17"/>
              </w:rPr>
              <w:t>退</w:t>
            </w:r>
            <w:r>
              <w:rPr>
                <w:rFonts w:ascii="宋体" w:hAnsi="宋体" w:eastAsia="宋体" w:cs="宋体"/>
                <w:spacing w:val="8"/>
                <w:sz w:val="17"/>
                <w:szCs w:val="17"/>
              </w:rPr>
              <w:t>市板块股份</w:t>
            </w:r>
          </w:p>
        </w:tc>
        <w:tc>
          <w:tcPr>
            <w:tcW w:w="6234" w:type="dxa"/>
            <w:vMerge w:val="continue"/>
            <w:tcBorders>
              <w:top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9" w:type="dxa"/>
            <w:vMerge w:val="continue"/>
            <w:tcBorders>
              <w:top w:val="nil"/>
              <w:bottom w:val="nil"/>
            </w:tcBorders>
            <w:vAlign w:val="top"/>
          </w:tcPr>
          <w:p>
            <w:pPr>
              <w:rPr>
                <w:rFonts w:ascii="Arial"/>
                <w:sz w:val="21"/>
              </w:rPr>
            </w:pPr>
          </w:p>
        </w:tc>
        <w:tc>
          <w:tcPr>
            <w:tcW w:w="1842" w:type="dxa"/>
            <w:vMerge w:val="restart"/>
            <w:tcBorders>
              <w:bottom w:val="nil"/>
            </w:tcBorders>
            <w:vAlign w:val="top"/>
          </w:tcPr>
          <w:p>
            <w:pPr>
              <w:spacing w:line="316" w:lineRule="auto"/>
              <w:rPr>
                <w:rFonts w:ascii="Arial"/>
                <w:sz w:val="21"/>
              </w:rPr>
            </w:pPr>
          </w:p>
          <w:p>
            <w:pPr>
              <w:spacing w:line="317" w:lineRule="auto"/>
              <w:rPr>
                <w:rFonts w:ascii="Arial"/>
                <w:sz w:val="21"/>
              </w:rPr>
            </w:pPr>
          </w:p>
          <w:p>
            <w:pPr>
              <w:spacing w:before="55" w:line="231" w:lineRule="auto"/>
              <w:ind w:left="207"/>
              <w:rPr>
                <w:rFonts w:ascii="宋体" w:hAnsi="宋体" w:eastAsia="宋体" w:cs="宋体"/>
                <w:sz w:val="17"/>
                <w:szCs w:val="17"/>
              </w:rPr>
            </w:pPr>
            <w:r>
              <w:rPr>
                <w:rFonts w:ascii="宋体" w:hAnsi="宋体" w:eastAsia="宋体" w:cs="宋体"/>
                <w:spacing w:val="14"/>
                <w:sz w:val="17"/>
                <w:szCs w:val="17"/>
              </w:rPr>
              <w:t>非</w:t>
            </w:r>
            <w:r>
              <w:rPr>
                <w:rFonts w:ascii="宋体" w:hAnsi="宋体" w:eastAsia="宋体" w:cs="宋体"/>
                <w:spacing w:val="8"/>
                <w:sz w:val="17"/>
                <w:szCs w:val="17"/>
              </w:rPr>
              <w:t>交易转让印花税</w:t>
            </w:r>
          </w:p>
        </w:tc>
        <w:tc>
          <w:tcPr>
            <w:tcW w:w="2408" w:type="dxa"/>
            <w:vAlign w:val="top"/>
          </w:tcPr>
          <w:p>
            <w:pPr>
              <w:spacing w:before="71" w:line="233" w:lineRule="auto"/>
              <w:ind w:left="1044"/>
              <w:rPr>
                <w:rFonts w:ascii="宋体" w:hAnsi="宋体" w:eastAsia="宋体" w:cs="宋体"/>
                <w:sz w:val="17"/>
                <w:szCs w:val="17"/>
              </w:rPr>
            </w:pPr>
            <w:r>
              <w:rPr>
                <w:rFonts w:ascii="宋体" w:hAnsi="宋体" w:eastAsia="宋体" w:cs="宋体"/>
                <w:spacing w:val="-9"/>
                <w:sz w:val="17"/>
                <w:szCs w:val="17"/>
              </w:rPr>
              <w:t>A</w:t>
            </w:r>
            <w:r>
              <w:rPr>
                <w:rFonts w:ascii="宋体" w:hAnsi="宋体" w:eastAsia="宋体" w:cs="宋体"/>
                <w:spacing w:val="-10"/>
                <w:sz w:val="17"/>
                <w:szCs w:val="17"/>
              </w:rPr>
              <w:t xml:space="preserve"> </w:t>
            </w:r>
            <w:r>
              <w:rPr>
                <w:rFonts w:ascii="宋体" w:hAnsi="宋体" w:eastAsia="宋体" w:cs="宋体"/>
                <w:spacing w:val="-9"/>
                <w:sz w:val="17"/>
                <w:szCs w:val="17"/>
              </w:rPr>
              <w:t>股</w:t>
            </w:r>
          </w:p>
        </w:tc>
        <w:tc>
          <w:tcPr>
            <w:tcW w:w="6234" w:type="dxa"/>
            <w:vMerge w:val="restart"/>
            <w:tcBorders>
              <w:bottom w:val="nil"/>
            </w:tcBorders>
            <w:vAlign w:val="top"/>
          </w:tcPr>
          <w:p>
            <w:pPr>
              <w:spacing w:before="68" w:line="231" w:lineRule="auto"/>
              <w:ind w:left="115"/>
              <w:rPr>
                <w:rFonts w:ascii="宋体" w:hAnsi="宋体" w:eastAsia="宋体" w:cs="宋体"/>
                <w:sz w:val="17"/>
                <w:szCs w:val="17"/>
              </w:rPr>
            </w:pPr>
            <w:r>
              <w:rPr>
                <w:rFonts w:ascii="宋体" w:hAnsi="宋体" w:eastAsia="宋体" w:cs="宋体"/>
                <w:spacing w:val="12"/>
                <w:sz w:val="17"/>
                <w:szCs w:val="17"/>
              </w:rPr>
              <w:t>按</w:t>
            </w:r>
            <w:r>
              <w:rPr>
                <w:rFonts w:ascii="宋体" w:hAnsi="宋体" w:eastAsia="宋体" w:cs="宋体"/>
                <w:spacing w:val="9"/>
                <w:sz w:val="17"/>
                <w:szCs w:val="17"/>
              </w:rPr>
              <w:t>成</w:t>
            </w:r>
            <w:r>
              <w:rPr>
                <w:rFonts w:ascii="宋体" w:hAnsi="宋体" w:eastAsia="宋体" w:cs="宋体"/>
                <w:spacing w:val="6"/>
                <w:sz w:val="17"/>
                <w:szCs w:val="17"/>
              </w:rPr>
              <w:t>交金额的 1‰向出让方收取，减半征收。</w:t>
            </w:r>
          </w:p>
          <w:p>
            <w:pPr>
              <w:spacing w:before="98" w:line="339" w:lineRule="auto"/>
              <w:ind w:left="112" w:right="103" w:firstLine="2"/>
              <w:rPr>
                <w:rFonts w:ascii="宋体" w:hAnsi="宋体" w:eastAsia="宋体" w:cs="宋体"/>
                <w:sz w:val="17"/>
                <w:szCs w:val="17"/>
              </w:rPr>
            </w:pPr>
            <w:r>
              <w:rPr>
                <w:rFonts w:ascii="宋体" w:hAnsi="宋体" w:eastAsia="宋体" w:cs="宋体"/>
                <w:spacing w:val="18"/>
                <w:sz w:val="17"/>
                <w:szCs w:val="17"/>
              </w:rPr>
              <w:t>无转</w:t>
            </w:r>
            <w:r>
              <w:rPr>
                <w:rFonts w:ascii="宋体" w:hAnsi="宋体" w:eastAsia="宋体" w:cs="宋体"/>
                <w:spacing w:val="15"/>
                <w:sz w:val="17"/>
                <w:szCs w:val="17"/>
              </w:rPr>
              <w:t>让</w:t>
            </w:r>
            <w:r>
              <w:rPr>
                <w:rFonts w:ascii="宋体" w:hAnsi="宋体" w:eastAsia="宋体" w:cs="宋体"/>
                <w:spacing w:val="9"/>
                <w:sz w:val="17"/>
                <w:szCs w:val="17"/>
              </w:rPr>
              <w:t>价格的，按照办理过户登记手续时该证券前一交易日收盘价×过户登</w:t>
            </w:r>
            <w:r>
              <w:rPr>
                <w:rFonts w:ascii="宋体" w:hAnsi="宋体" w:eastAsia="宋体" w:cs="宋体"/>
                <w:sz w:val="17"/>
                <w:szCs w:val="17"/>
              </w:rPr>
              <w:t xml:space="preserve"> </w:t>
            </w:r>
            <w:r>
              <w:rPr>
                <w:rFonts w:ascii="宋体" w:hAnsi="宋体" w:eastAsia="宋体" w:cs="宋体"/>
                <w:spacing w:val="18"/>
                <w:sz w:val="17"/>
                <w:szCs w:val="17"/>
              </w:rPr>
              <w:t>记</w:t>
            </w:r>
            <w:r>
              <w:rPr>
                <w:rFonts w:ascii="宋体" w:hAnsi="宋体" w:eastAsia="宋体" w:cs="宋体"/>
                <w:spacing w:val="11"/>
                <w:sz w:val="17"/>
                <w:szCs w:val="17"/>
              </w:rPr>
              <w:t>证</w:t>
            </w:r>
            <w:r>
              <w:rPr>
                <w:rFonts w:ascii="宋体" w:hAnsi="宋体" w:eastAsia="宋体" w:cs="宋体"/>
                <w:spacing w:val="9"/>
                <w:sz w:val="17"/>
                <w:szCs w:val="17"/>
              </w:rPr>
              <w:t>券数量×1‰向出让方收取，减半征收；无收盘价的，按照证券面值×过</w:t>
            </w:r>
            <w:r>
              <w:rPr>
                <w:rFonts w:ascii="宋体" w:hAnsi="宋体" w:eastAsia="宋体" w:cs="宋体"/>
                <w:sz w:val="17"/>
                <w:szCs w:val="17"/>
              </w:rPr>
              <w:t xml:space="preserve"> </w:t>
            </w:r>
            <w:r>
              <w:rPr>
                <w:rFonts w:ascii="宋体" w:hAnsi="宋体" w:eastAsia="宋体" w:cs="宋体"/>
                <w:spacing w:val="9"/>
                <w:sz w:val="17"/>
                <w:szCs w:val="17"/>
              </w:rPr>
              <w:t>户登记证券数量×1‰向出让方收取，减半征收</w:t>
            </w:r>
            <w:r>
              <w:rPr>
                <w:rFonts w:ascii="宋体" w:hAnsi="宋体" w:eastAsia="宋体" w:cs="宋体"/>
                <w:spacing w:val="8"/>
                <w:sz w:val="17"/>
                <w:szCs w:val="17"/>
              </w:rPr>
              <w:t>。</w:t>
            </w:r>
          </w:p>
          <w:p>
            <w:pPr>
              <w:spacing w:line="235" w:lineRule="auto"/>
              <w:ind w:left="113"/>
              <w:rPr>
                <w:rFonts w:ascii="宋体" w:hAnsi="宋体" w:eastAsia="宋体" w:cs="宋体"/>
                <w:sz w:val="17"/>
                <w:szCs w:val="17"/>
              </w:rPr>
            </w:pPr>
            <w:r>
              <w:rPr>
                <w:rFonts w:ascii="宋体" w:hAnsi="宋体" w:eastAsia="宋体" w:cs="宋体"/>
                <w:spacing w:val="13"/>
                <w:sz w:val="17"/>
                <w:szCs w:val="17"/>
              </w:rPr>
              <w:t>注</w:t>
            </w:r>
            <w:r>
              <w:rPr>
                <w:rFonts w:ascii="宋体" w:hAnsi="宋体" w:eastAsia="宋体" w:cs="宋体"/>
                <w:spacing w:val="9"/>
                <w:sz w:val="17"/>
                <w:szCs w:val="17"/>
              </w:rPr>
              <w:t>：申请人提供了国家主管税务机关出具的免税批文，按照批文的规定执行。</w:t>
            </w: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9"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2408" w:type="dxa"/>
            <w:vAlign w:val="top"/>
          </w:tcPr>
          <w:p>
            <w:pPr>
              <w:spacing w:before="70" w:line="231" w:lineRule="auto"/>
              <w:ind w:left="669"/>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6234" w:type="dxa"/>
            <w:vMerge w:val="continue"/>
            <w:tcBorders>
              <w:top w:val="nil"/>
              <w:bottom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9"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2408" w:type="dxa"/>
            <w:vAlign w:val="top"/>
          </w:tcPr>
          <w:p>
            <w:pPr>
              <w:spacing w:before="69" w:line="231" w:lineRule="auto"/>
              <w:ind w:left="936"/>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6234" w:type="dxa"/>
            <w:vMerge w:val="continue"/>
            <w:tcBorders>
              <w:top w:val="nil"/>
              <w:bottom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419"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2408" w:type="dxa"/>
            <w:vAlign w:val="top"/>
          </w:tcPr>
          <w:p>
            <w:pPr>
              <w:spacing w:before="201" w:line="230" w:lineRule="auto"/>
              <w:ind w:left="669"/>
              <w:rPr>
                <w:rFonts w:ascii="宋体" w:hAnsi="宋体" w:eastAsia="宋体" w:cs="宋体"/>
                <w:sz w:val="17"/>
                <w:szCs w:val="17"/>
              </w:rPr>
            </w:pPr>
            <w:r>
              <w:rPr>
                <w:rFonts w:ascii="宋体" w:hAnsi="宋体" w:eastAsia="宋体" w:cs="宋体"/>
                <w:spacing w:val="12"/>
                <w:sz w:val="17"/>
                <w:szCs w:val="17"/>
              </w:rPr>
              <w:t>退</w:t>
            </w:r>
            <w:r>
              <w:rPr>
                <w:rFonts w:ascii="宋体" w:hAnsi="宋体" w:eastAsia="宋体" w:cs="宋体"/>
                <w:spacing w:val="8"/>
                <w:sz w:val="17"/>
                <w:szCs w:val="17"/>
              </w:rPr>
              <w:t>市板块股份</w:t>
            </w:r>
          </w:p>
        </w:tc>
        <w:tc>
          <w:tcPr>
            <w:tcW w:w="6234" w:type="dxa"/>
            <w:vMerge w:val="continue"/>
            <w:tcBorders>
              <w:top w:val="nil"/>
            </w:tcBorders>
            <w:vAlign w:val="top"/>
          </w:tcPr>
          <w:p>
            <w:pPr>
              <w:rPr>
                <w:rFonts w:ascii="Arial"/>
                <w:sz w:val="21"/>
              </w:rPr>
            </w:pPr>
          </w:p>
        </w:tc>
        <w:tc>
          <w:tcPr>
            <w:tcW w:w="16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9" w:type="dxa"/>
            <w:vMerge w:val="restart"/>
            <w:tcBorders>
              <w:bottom w:val="nil"/>
            </w:tcBorders>
            <w:vAlign w:val="top"/>
          </w:tcPr>
          <w:p>
            <w:pPr>
              <w:spacing w:line="340" w:lineRule="auto"/>
              <w:rPr>
                <w:rFonts w:ascii="Arial"/>
                <w:sz w:val="21"/>
              </w:rPr>
            </w:pPr>
          </w:p>
          <w:p>
            <w:pPr>
              <w:spacing w:before="56" w:line="231" w:lineRule="auto"/>
              <w:ind w:left="586"/>
              <w:rPr>
                <w:rFonts w:ascii="宋体" w:hAnsi="宋体" w:eastAsia="宋体" w:cs="宋体"/>
                <w:sz w:val="17"/>
                <w:szCs w:val="17"/>
              </w:rPr>
            </w:pPr>
            <w:r>
              <w:rPr>
                <w:rFonts w:ascii="宋体" w:hAnsi="宋体" w:eastAsia="宋体" w:cs="宋体"/>
                <w:spacing w:val="12"/>
                <w:sz w:val="17"/>
                <w:szCs w:val="17"/>
              </w:rPr>
              <w:t>北</w:t>
            </w:r>
            <w:r>
              <w:rPr>
                <w:rFonts w:ascii="宋体" w:hAnsi="宋体" w:eastAsia="宋体" w:cs="宋体"/>
                <w:spacing w:val="8"/>
                <w:sz w:val="17"/>
                <w:szCs w:val="17"/>
              </w:rPr>
              <w:t>京证券交易所</w:t>
            </w:r>
          </w:p>
        </w:tc>
        <w:tc>
          <w:tcPr>
            <w:tcW w:w="1842" w:type="dxa"/>
            <w:vMerge w:val="restart"/>
            <w:tcBorders>
              <w:bottom w:val="nil"/>
            </w:tcBorders>
            <w:vAlign w:val="top"/>
          </w:tcPr>
          <w:p>
            <w:pPr>
              <w:spacing w:line="340" w:lineRule="auto"/>
              <w:rPr>
                <w:rFonts w:ascii="Arial"/>
                <w:sz w:val="21"/>
              </w:rPr>
            </w:pPr>
          </w:p>
          <w:p>
            <w:pPr>
              <w:spacing w:before="55" w:line="232" w:lineRule="auto"/>
              <w:ind w:left="476"/>
              <w:rPr>
                <w:rFonts w:ascii="宋体" w:hAnsi="宋体" w:eastAsia="宋体" w:cs="宋体"/>
                <w:sz w:val="17"/>
                <w:szCs w:val="17"/>
              </w:rPr>
            </w:pPr>
            <w:r>
              <w:rPr>
                <w:rFonts w:ascii="宋体" w:hAnsi="宋体" w:eastAsia="宋体" w:cs="宋体"/>
                <w:spacing w:val="8"/>
                <w:sz w:val="17"/>
                <w:szCs w:val="17"/>
              </w:rPr>
              <w:t>交易经手</w:t>
            </w:r>
            <w:r>
              <w:rPr>
                <w:rFonts w:ascii="宋体" w:hAnsi="宋体" w:eastAsia="宋体" w:cs="宋体"/>
                <w:spacing w:val="7"/>
                <w:sz w:val="17"/>
                <w:szCs w:val="17"/>
              </w:rPr>
              <w:t>费</w:t>
            </w:r>
          </w:p>
        </w:tc>
        <w:tc>
          <w:tcPr>
            <w:tcW w:w="2408" w:type="dxa"/>
            <w:vAlign w:val="top"/>
          </w:tcPr>
          <w:p>
            <w:pPr>
              <w:spacing w:before="71" w:line="233" w:lineRule="auto"/>
              <w:ind w:left="1044"/>
              <w:rPr>
                <w:rFonts w:ascii="宋体" w:hAnsi="宋体" w:eastAsia="宋体" w:cs="宋体"/>
                <w:sz w:val="17"/>
                <w:szCs w:val="17"/>
              </w:rPr>
            </w:pPr>
            <w:r>
              <w:rPr>
                <w:rFonts w:ascii="宋体" w:hAnsi="宋体" w:eastAsia="宋体" w:cs="宋体"/>
                <w:spacing w:val="-9"/>
                <w:sz w:val="17"/>
                <w:szCs w:val="17"/>
              </w:rPr>
              <w:t>A</w:t>
            </w:r>
            <w:r>
              <w:rPr>
                <w:rFonts w:ascii="宋体" w:hAnsi="宋体" w:eastAsia="宋体" w:cs="宋体"/>
                <w:spacing w:val="-10"/>
                <w:sz w:val="17"/>
                <w:szCs w:val="17"/>
              </w:rPr>
              <w:t xml:space="preserve"> </w:t>
            </w:r>
            <w:r>
              <w:rPr>
                <w:rFonts w:ascii="宋体" w:hAnsi="宋体" w:eastAsia="宋体" w:cs="宋体"/>
                <w:spacing w:val="-9"/>
                <w:sz w:val="17"/>
                <w:szCs w:val="17"/>
              </w:rPr>
              <w:t>股</w:t>
            </w:r>
          </w:p>
        </w:tc>
        <w:tc>
          <w:tcPr>
            <w:tcW w:w="6234" w:type="dxa"/>
            <w:vMerge w:val="restart"/>
            <w:tcBorders>
              <w:bottom w:val="nil"/>
            </w:tcBorders>
            <w:vAlign w:val="top"/>
          </w:tcPr>
          <w:p>
            <w:pPr>
              <w:spacing w:before="234" w:line="231" w:lineRule="auto"/>
              <w:ind w:left="115"/>
              <w:rPr>
                <w:rFonts w:ascii="宋体" w:hAnsi="宋体" w:eastAsia="宋体" w:cs="宋体"/>
                <w:sz w:val="17"/>
                <w:szCs w:val="17"/>
              </w:rPr>
            </w:pPr>
            <w:r>
              <w:rPr>
                <w:rFonts w:ascii="宋体" w:hAnsi="宋体" w:eastAsia="宋体" w:cs="宋体"/>
                <w:spacing w:val="8"/>
                <w:sz w:val="17"/>
                <w:szCs w:val="17"/>
              </w:rPr>
              <w:t>按成交</w:t>
            </w:r>
            <w:r>
              <w:rPr>
                <w:rFonts w:ascii="宋体" w:hAnsi="宋体" w:eastAsia="宋体" w:cs="宋体"/>
                <w:spacing w:val="5"/>
                <w:sz w:val="17"/>
                <w:szCs w:val="17"/>
              </w:rPr>
              <w:t>金</w:t>
            </w:r>
            <w:r>
              <w:rPr>
                <w:rFonts w:ascii="宋体" w:hAnsi="宋体" w:eastAsia="宋体" w:cs="宋体"/>
                <w:spacing w:val="4"/>
                <w:sz w:val="17"/>
                <w:szCs w:val="17"/>
              </w:rPr>
              <w:t>额的 0.125‰双边收取。</w:t>
            </w:r>
          </w:p>
        </w:tc>
        <w:tc>
          <w:tcPr>
            <w:tcW w:w="1631" w:type="dxa"/>
            <w:vMerge w:val="restart"/>
            <w:tcBorders>
              <w:bottom w:val="nil"/>
            </w:tcBorders>
            <w:vAlign w:val="top"/>
          </w:tcPr>
          <w:p>
            <w:pPr>
              <w:spacing w:line="340" w:lineRule="auto"/>
              <w:rPr>
                <w:rFonts w:ascii="Arial"/>
                <w:sz w:val="21"/>
              </w:rPr>
            </w:pPr>
          </w:p>
          <w:p>
            <w:pPr>
              <w:spacing w:before="55" w:line="232" w:lineRule="auto"/>
              <w:ind w:left="551"/>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9"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2408" w:type="dxa"/>
            <w:vAlign w:val="top"/>
          </w:tcPr>
          <w:p>
            <w:pPr>
              <w:spacing w:before="71" w:line="231" w:lineRule="auto"/>
              <w:ind w:left="936"/>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6234" w:type="dxa"/>
            <w:vMerge w:val="continue"/>
            <w:tcBorders>
              <w:top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19"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2408" w:type="dxa"/>
            <w:vAlign w:val="top"/>
          </w:tcPr>
          <w:p>
            <w:pPr>
              <w:spacing w:before="70" w:line="231" w:lineRule="auto"/>
              <w:ind w:left="579"/>
              <w:rPr>
                <w:rFonts w:ascii="宋体" w:hAnsi="宋体" w:eastAsia="宋体" w:cs="宋体"/>
                <w:sz w:val="17"/>
                <w:szCs w:val="17"/>
              </w:rPr>
            </w:pPr>
            <w:r>
              <w:rPr>
                <w:rFonts w:ascii="宋体" w:hAnsi="宋体" w:eastAsia="宋体" w:cs="宋体"/>
                <w:spacing w:val="13"/>
                <w:sz w:val="17"/>
                <w:szCs w:val="17"/>
              </w:rPr>
              <w:t>可</w:t>
            </w:r>
            <w:r>
              <w:rPr>
                <w:rFonts w:ascii="宋体" w:hAnsi="宋体" w:eastAsia="宋体" w:cs="宋体"/>
                <w:spacing w:val="8"/>
                <w:sz w:val="17"/>
                <w:szCs w:val="17"/>
              </w:rPr>
              <w:t>转换公司债券</w:t>
            </w:r>
          </w:p>
        </w:tc>
        <w:tc>
          <w:tcPr>
            <w:tcW w:w="6234" w:type="dxa"/>
            <w:vAlign w:val="top"/>
          </w:tcPr>
          <w:p>
            <w:pPr>
              <w:spacing w:before="70" w:line="231" w:lineRule="auto"/>
              <w:ind w:left="115"/>
              <w:rPr>
                <w:rFonts w:ascii="宋体" w:hAnsi="宋体" w:eastAsia="宋体" w:cs="宋体"/>
                <w:sz w:val="17"/>
                <w:szCs w:val="17"/>
              </w:rPr>
            </w:pPr>
            <w:r>
              <w:rPr>
                <w:rFonts w:ascii="宋体" w:hAnsi="宋体" w:eastAsia="宋体" w:cs="宋体"/>
                <w:spacing w:val="2"/>
                <w:sz w:val="17"/>
                <w:szCs w:val="17"/>
              </w:rPr>
              <w:t xml:space="preserve">按 </w:t>
            </w:r>
            <w:r>
              <w:rPr>
                <w:rFonts w:ascii="宋体" w:hAnsi="宋体" w:eastAsia="宋体" w:cs="宋体"/>
                <w:sz w:val="17"/>
                <w:szCs w:val="17"/>
              </w:rPr>
              <w:t>A</w:t>
            </w:r>
            <w:r>
              <w:rPr>
                <w:rFonts w:ascii="宋体" w:hAnsi="宋体" w:eastAsia="宋体" w:cs="宋体"/>
                <w:spacing w:val="2"/>
                <w:sz w:val="17"/>
                <w:szCs w:val="17"/>
              </w:rPr>
              <w:t xml:space="preserve"> 股经手费标准减半收取</w:t>
            </w:r>
            <w:r>
              <w:rPr>
                <w:rFonts w:ascii="宋体" w:hAnsi="宋体" w:eastAsia="宋体" w:cs="宋体"/>
                <w:sz w:val="17"/>
                <w:szCs w:val="17"/>
              </w:rPr>
              <w:t>。</w:t>
            </w:r>
          </w:p>
        </w:tc>
        <w:tc>
          <w:tcPr>
            <w:tcW w:w="16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9"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5" w:line="232" w:lineRule="auto"/>
              <w:ind w:left="674"/>
              <w:rPr>
                <w:rFonts w:ascii="宋体" w:hAnsi="宋体" w:eastAsia="宋体" w:cs="宋体"/>
                <w:sz w:val="17"/>
                <w:szCs w:val="17"/>
              </w:rPr>
            </w:pPr>
            <w:r>
              <w:rPr>
                <w:rFonts w:ascii="宋体" w:hAnsi="宋体" w:eastAsia="宋体" w:cs="宋体"/>
                <w:spacing w:val="9"/>
                <w:sz w:val="17"/>
                <w:szCs w:val="17"/>
              </w:rPr>
              <w:t>全国股转公</w:t>
            </w:r>
            <w:r>
              <w:rPr>
                <w:rFonts w:ascii="宋体" w:hAnsi="宋体" w:eastAsia="宋体" w:cs="宋体"/>
                <w:spacing w:val="7"/>
                <w:sz w:val="17"/>
                <w:szCs w:val="17"/>
              </w:rPr>
              <w:t>司</w:t>
            </w:r>
          </w:p>
        </w:tc>
        <w:tc>
          <w:tcPr>
            <w:tcW w:w="1842"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5" w:line="232" w:lineRule="auto"/>
              <w:ind w:left="473"/>
              <w:rPr>
                <w:rFonts w:ascii="宋体" w:hAnsi="宋体" w:eastAsia="宋体" w:cs="宋体"/>
                <w:sz w:val="17"/>
                <w:szCs w:val="17"/>
              </w:rPr>
            </w:pPr>
            <w:r>
              <w:rPr>
                <w:rFonts w:ascii="宋体" w:hAnsi="宋体" w:eastAsia="宋体" w:cs="宋体"/>
                <w:spacing w:val="10"/>
                <w:sz w:val="17"/>
                <w:szCs w:val="17"/>
              </w:rPr>
              <w:t>转</w:t>
            </w:r>
            <w:r>
              <w:rPr>
                <w:rFonts w:ascii="宋体" w:hAnsi="宋体" w:eastAsia="宋体" w:cs="宋体"/>
                <w:spacing w:val="8"/>
                <w:sz w:val="17"/>
                <w:szCs w:val="17"/>
              </w:rPr>
              <w:t>让经手费</w:t>
            </w:r>
          </w:p>
        </w:tc>
        <w:tc>
          <w:tcPr>
            <w:tcW w:w="2408" w:type="dxa"/>
            <w:vAlign w:val="top"/>
          </w:tcPr>
          <w:p>
            <w:pPr>
              <w:spacing w:before="73" w:line="231" w:lineRule="auto"/>
              <w:ind w:left="669"/>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6234" w:type="dxa"/>
            <w:vMerge w:val="restart"/>
            <w:tcBorders>
              <w:bottom w:val="nil"/>
            </w:tcBorders>
            <w:vAlign w:val="top"/>
          </w:tcPr>
          <w:p>
            <w:pPr>
              <w:spacing w:before="236" w:line="231" w:lineRule="auto"/>
              <w:ind w:left="115"/>
              <w:rPr>
                <w:rFonts w:ascii="宋体" w:hAnsi="宋体" w:eastAsia="宋体" w:cs="宋体"/>
                <w:sz w:val="17"/>
                <w:szCs w:val="17"/>
              </w:rPr>
            </w:pPr>
            <w:r>
              <w:rPr>
                <w:rFonts w:ascii="宋体" w:hAnsi="宋体" w:eastAsia="宋体" w:cs="宋体"/>
                <w:spacing w:val="5"/>
                <w:sz w:val="17"/>
                <w:szCs w:val="17"/>
              </w:rPr>
              <w:t>按成交金额的 0.5‰双边收取</w:t>
            </w:r>
          </w:p>
        </w:tc>
        <w:tc>
          <w:tcPr>
            <w:tcW w:w="1631"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5" w:line="232" w:lineRule="auto"/>
              <w:ind w:left="551"/>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9"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2408" w:type="dxa"/>
            <w:vAlign w:val="top"/>
          </w:tcPr>
          <w:p>
            <w:pPr>
              <w:spacing w:before="72" w:line="231" w:lineRule="auto"/>
              <w:ind w:left="936"/>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6234" w:type="dxa"/>
            <w:vMerge w:val="continue"/>
            <w:tcBorders>
              <w:top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9"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2408" w:type="dxa"/>
            <w:vAlign w:val="top"/>
          </w:tcPr>
          <w:p>
            <w:pPr>
              <w:spacing w:before="226" w:line="230" w:lineRule="auto"/>
              <w:ind w:left="669"/>
              <w:rPr>
                <w:rFonts w:ascii="宋体" w:hAnsi="宋体" w:eastAsia="宋体" w:cs="宋体"/>
                <w:sz w:val="17"/>
                <w:szCs w:val="17"/>
              </w:rPr>
            </w:pPr>
            <w:r>
              <w:rPr>
                <w:rFonts w:ascii="宋体" w:hAnsi="宋体" w:eastAsia="宋体" w:cs="宋体"/>
                <w:spacing w:val="12"/>
                <w:sz w:val="17"/>
                <w:szCs w:val="17"/>
              </w:rPr>
              <w:t>退</w:t>
            </w:r>
            <w:r>
              <w:rPr>
                <w:rFonts w:ascii="宋体" w:hAnsi="宋体" w:eastAsia="宋体" w:cs="宋体"/>
                <w:spacing w:val="8"/>
                <w:sz w:val="17"/>
                <w:szCs w:val="17"/>
              </w:rPr>
              <w:t>市板块股份</w:t>
            </w:r>
          </w:p>
        </w:tc>
        <w:tc>
          <w:tcPr>
            <w:tcW w:w="6234" w:type="dxa"/>
            <w:vAlign w:val="top"/>
          </w:tcPr>
          <w:p>
            <w:pPr>
              <w:spacing w:before="69" w:line="231" w:lineRule="auto"/>
              <w:ind w:left="114"/>
              <w:rPr>
                <w:rFonts w:ascii="宋体" w:hAnsi="宋体" w:eastAsia="宋体" w:cs="宋体"/>
                <w:sz w:val="17"/>
                <w:szCs w:val="17"/>
              </w:rPr>
            </w:pPr>
            <w:r>
              <w:rPr>
                <w:rFonts w:ascii="宋体" w:hAnsi="宋体" w:eastAsia="宋体" w:cs="宋体"/>
                <w:spacing w:val="4"/>
                <w:sz w:val="17"/>
                <w:szCs w:val="17"/>
              </w:rPr>
              <w:t>退市</w:t>
            </w:r>
            <w:r>
              <w:rPr>
                <w:rFonts w:ascii="宋体" w:hAnsi="宋体" w:eastAsia="宋体" w:cs="宋体"/>
                <w:spacing w:val="3"/>
                <w:sz w:val="17"/>
                <w:szCs w:val="17"/>
              </w:rPr>
              <w:t xml:space="preserve"> </w:t>
            </w:r>
            <w:r>
              <w:rPr>
                <w:rFonts w:ascii="宋体" w:hAnsi="宋体" w:eastAsia="宋体" w:cs="宋体"/>
                <w:sz w:val="17"/>
                <w:szCs w:val="17"/>
              </w:rPr>
              <w:t>A</w:t>
            </w:r>
            <w:r>
              <w:rPr>
                <w:rFonts w:ascii="宋体" w:hAnsi="宋体" w:eastAsia="宋体" w:cs="宋体"/>
                <w:spacing w:val="2"/>
                <w:sz w:val="17"/>
                <w:szCs w:val="17"/>
              </w:rPr>
              <w:t xml:space="preserve"> 股：按照成交金额的 0.6‰双边收取。</w:t>
            </w:r>
          </w:p>
          <w:p>
            <w:pPr>
              <w:spacing w:before="99" w:line="231" w:lineRule="auto"/>
              <w:ind w:left="114"/>
              <w:rPr>
                <w:rFonts w:ascii="宋体" w:hAnsi="宋体" w:eastAsia="宋体" w:cs="宋体"/>
                <w:sz w:val="17"/>
                <w:szCs w:val="17"/>
              </w:rPr>
            </w:pPr>
            <w:r>
              <w:rPr>
                <w:rFonts w:ascii="宋体" w:hAnsi="宋体" w:eastAsia="宋体" w:cs="宋体"/>
                <w:spacing w:val="4"/>
                <w:sz w:val="17"/>
                <w:szCs w:val="17"/>
              </w:rPr>
              <w:t>退市</w:t>
            </w:r>
            <w:r>
              <w:rPr>
                <w:rFonts w:ascii="宋体" w:hAnsi="宋体" w:eastAsia="宋体" w:cs="宋体"/>
                <w:spacing w:val="3"/>
                <w:sz w:val="17"/>
                <w:szCs w:val="17"/>
              </w:rPr>
              <w:t xml:space="preserve"> </w:t>
            </w:r>
            <w:r>
              <w:rPr>
                <w:rFonts w:ascii="宋体" w:hAnsi="宋体" w:eastAsia="宋体" w:cs="宋体"/>
                <w:sz w:val="17"/>
                <w:szCs w:val="17"/>
              </w:rPr>
              <w:t>B</w:t>
            </w:r>
            <w:r>
              <w:rPr>
                <w:rFonts w:ascii="宋体" w:hAnsi="宋体" w:eastAsia="宋体" w:cs="宋体"/>
                <w:spacing w:val="2"/>
                <w:sz w:val="17"/>
                <w:szCs w:val="17"/>
              </w:rPr>
              <w:t xml:space="preserve"> 股：按照成交金额的 0.8‰双边收取。</w:t>
            </w: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19"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2408" w:type="dxa"/>
            <w:vAlign w:val="top"/>
          </w:tcPr>
          <w:p>
            <w:pPr>
              <w:spacing w:before="226" w:line="231" w:lineRule="auto"/>
              <w:ind w:left="579"/>
              <w:rPr>
                <w:rFonts w:ascii="宋体" w:hAnsi="宋体" w:eastAsia="宋体" w:cs="宋体"/>
                <w:sz w:val="17"/>
                <w:szCs w:val="17"/>
              </w:rPr>
            </w:pPr>
            <w:r>
              <w:rPr>
                <w:rFonts w:ascii="宋体" w:hAnsi="宋体" w:eastAsia="宋体" w:cs="宋体"/>
                <w:spacing w:val="13"/>
                <w:sz w:val="17"/>
                <w:szCs w:val="17"/>
              </w:rPr>
              <w:t>可</w:t>
            </w:r>
            <w:r>
              <w:rPr>
                <w:rFonts w:ascii="宋体" w:hAnsi="宋体" w:eastAsia="宋体" w:cs="宋体"/>
                <w:spacing w:val="8"/>
                <w:sz w:val="17"/>
                <w:szCs w:val="17"/>
              </w:rPr>
              <w:t>转换公司债券</w:t>
            </w:r>
          </w:p>
        </w:tc>
        <w:tc>
          <w:tcPr>
            <w:tcW w:w="6234" w:type="dxa"/>
            <w:vAlign w:val="top"/>
          </w:tcPr>
          <w:p>
            <w:pPr>
              <w:spacing w:before="70" w:line="232" w:lineRule="auto"/>
              <w:ind w:left="113"/>
              <w:rPr>
                <w:rFonts w:ascii="宋体" w:hAnsi="宋体" w:eastAsia="宋体" w:cs="宋体"/>
                <w:sz w:val="17"/>
                <w:szCs w:val="17"/>
              </w:rPr>
            </w:pPr>
            <w:r>
              <w:rPr>
                <w:rFonts w:ascii="宋体" w:hAnsi="宋体" w:eastAsia="宋体" w:cs="宋体"/>
                <w:spacing w:val="13"/>
                <w:sz w:val="17"/>
                <w:szCs w:val="17"/>
              </w:rPr>
              <w:t>股</w:t>
            </w:r>
            <w:r>
              <w:rPr>
                <w:rFonts w:ascii="宋体" w:hAnsi="宋体" w:eastAsia="宋体" w:cs="宋体"/>
                <w:spacing w:val="9"/>
                <w:sz w:val="17"/>
                <w:szCs w:val="17"/>
              </w:rPr>
              <w:t>转系统：按挂牌公司股份经手费标准减半收取。</w:t>
            </w:r>
          </w:p>
          <w:p>
            <w:pPr>
              <w:spacing w:before="98" w:line="230" w:lineRule="auto"/>
              <w:ind w:left="114"/>
              <w:rPr>
                <w:rFonts w:ascii="宋体" w:hAnsi="宋体" w:eastAsia="宋体" w:cs="宋体"/>
                <w:sz w:val="17"/>
                <w:szCs w:val="17"/>
              </w:rPr>
            </w:pPr>
            <w:r>
              <w:rPr>
                <w:rFonts w:ascii="宋体" w:hAnsi="宋体" w:eastAsia="宋体" w:cs="宋体"/>
                <w:spacing w:val="7"/>
                <w:sz w:val="17"/>
                <w:szCs w:val="17"/>
              </w:rPr>
              <w:t>退</w:t>
            </w:r>
            <w:r>
              <w:rPr>
                <w:rFonts w:ascii="宋体" w:hAnsi="宋体" w:eastAsia="宋体" w:cs="宋体"/>
                <w:spacing w:val="5"/>
                <w:sz w:val="17"/>
                <w:szCs w:val="17"/>
              </w:rPr>
              <w:t xml:space="preserve">市板块：按退市板块 </w:t>
            </w:r>
            <w:r>
              <w:rPr>
                <w:rFonts w:ascii="宋体" w:hAnsi="宋体" w:eastAsia="宋体" w:cs="宋体"/>
                <w:sz w:val="17"/>
                <w:szCs w:val="17"/>
              </w:rPr>
              <w:t>A</w:t>
            </w:r>
            <w:r>
              <w:rPr>
                <w:rFonts w:ascii="宋体" w:hAnsi="宋体" w:eastAsia="宋体" w:cs="宋体"/>
                <w:spacing w:val="5"/>
                <w:sz w:val="17"/>
                <w:szCs w:val="17"/>
              </w:rPr>
              <w:t xml:space="preserve"> 股转让经手费标准收取。</w:t>
            </w:r>
          </w:p>
        </w:tc>
        <w:tc>
          <w:tcPr>
            <w:tcW w:w="1631" w:type="dxa"/>
            <w:vMerge w:val="continue"/>
            <w:tcBorders>
              <w:top w:val="nil"/>
            </w:tcBorders>
            <w:vAlign w:val="top"/>
          </w:tcPr>
          <w:p>
            <w:pPr>
              <w:rPr>
                <w:rFonts w:ascii="Arial"/>
                <w:sz w:val="21"/>
              </w:rPr>
            </w:pPr>
          </w:p>
        </w:tc>
      </w:tr>
    </w:tbl>
    <w:p>
      <w:pPr>
        <w:rPr>
          <w:rFonts w:ascii="Arial"/>
          <w:sz w:val="21"/>
        </w:rPr>
      </w:pPr>
    </w:p>
    <w:p>
      <w:pPr>
        <w:sectPr>
          <w:pgSz w:w="16839" w:h="11906"/>
          <w:pgMar w:top="1012" w:right="878" w:bottom="0" w:left="1420" w:header="0" w:footer="0" w:gutter="0"/>
          <w:cols w:space="720" w:num="1"/>
        </w:sectPr>
      </w:pPr>
    </w:p>
    <w:p/>
    <w:p/>
    <w:p/>
    <w:p>
      <w:pPr>
        <w:spacing w:line="60" w:lineRule="exact"/>
      </w:pPr>
    </w:p>
    <w:tbl>
      <w:tblPr>
        <w:tblStyle w:val="4"/>
        <w:tblW w:w="14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9"/>
        <w:gridCol w:w="1842"/>
        <w:gridCol w:w="2408"/>
        <w:gridCol w:w="6234"/>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419" w:type="dxa"/>
            <w:vMerge w:val="restart"/>
            <w:tcBorders>
              <w:bottom w:val="nil"/>
            </w:tcBorders>
            <w:vAlign w:val="top"/>
          </w:tcPr>
          <w:p>
            <w:pPr>
              <w:spacing w:line="343" w:lineRule="auto"/>
              <w:rPr>
                <w:rFonts w:ascii="Arial"/>
                <w:sz w:val="21"/>
              </w:rPr>
            </w:pPr>
          </w:p>
          <w:p>
            <w:pPr>
              <w:spacing w:before="56" w:line="231" w:lineRule="auto"/>
              <w:ind w:left="494"/>
              <w:rPr>
                <w:rFonts w:ascii="宋体" w:hAnsi="宋体" w:eastAsia="宋体" w:cs="宋体"/>
                <w:sz w:val="17"/>
                <w:szCs w:val="17"/>
              </w:rPr>
            </w:pPr>
            <w:r>
              <w:rPr>
                <w:rFonts w:ascii="宋体" w:hAnsi="宋体" w:eastAsia="宋体" w:cs="宋体"/>
                <w:spacing w:val="9"/>
                <w:sz w:val="17"/>
                <w:szCs w:val="17"/>
              </w:rPr>
              <w:t>证券结算风险基金</w:t>
            </w:r>
          </w:p>
        </w:tc>
        <w:tc>
          <w:tcPr>
            <w:tcW w:w="1842" w:type="dxa"/>
            <w:vMerge w:val="restart"/>
            <w:tcBorders>
              <w:bottom w:val="nil"/>
            </w:tcBorders>
            <w:vAlign w:val="top"/>
          </w:tcPr>
          <w:p>
            <w:pPr>
              <w:spacing w:line="343" w:lineRule="auto"/>
              <w:rPr>
                <w:rFonts w:ascii="Arial"/>
                <w:sz w:val="21"/>
              </w:rPr>
            </w:pPr>
          </w:p>
          <w:p>
            <w:pPr>
              <w:spacing w:before="56" w:line="231" w:lineRule="auto"/>
              <w:ind w:left="204"/>
              <w:rPr>
                <w:rFonts w:ascii="宋体" w:hAnsi="宋体" w:eastAsia="宋体" w:cs="宋体"/>
                <w:sz w:val="17"/>
                <w:szCs w:val="17"/>
              </w:rPr>
            </w:pPr>
            <w:r>
              <w:rPr>
                <w:rFonts w:ascii="宋体" w:hAnsi="宋体" w:eastAsia="宋体" w:cs="宋体"/>
                <w:spacing w:val="9"/>
                <w:sz w:val="17"/>
                <w:szCs w:val="17"/>
              </w:rPr>
              <w:t>证券结算风险基金</w:t>
            </w:r>
          </w:p>
        </w:tc>
        <w:tc>
          <w:tcPr>
            <w:tcW w:w="2408" w:type="dxa"/>
            <w:vAlign w:val="top"/>
          </w:tcPr>
          <w:p>
            <w:pPr>
              <w:spacing w:before="72" w:line="233" w:lineRule="auto"/>
              <w:ind w:left="1044"/>
              <w:rPr>
                <w:rFonts w:ascii="宋体" w:hAnsi="宋体" w:eastAsia="宋体" w:cs="宋体"/>
                <w:sz w:val="17"/>
                <w:szCs w:val="17"/>
              </w:rPr>
            </w:pPr>
            <w:r>
              <w:rPr>
                <w:rFonts w:ascii="宋体" w:hAnsi="宋体" w:eastAsia="宋体" w:cs="宋体"/>
                <w:spacing w:val="-9"/>
                <w:sz w:val="17"/>
                <w:szCs w:val="17"/>
              </w:rPr>
              <w:t>A</w:t>
            </w:r>
            <w:r>
              <w:rPr>
                <w:rFonts w:ascii="宋体" w:hAnsi="宋体" w:eastAsia="宋体" w:cs="宋体"/>
                <w:spacing w:val="-10"/>
                <w:sz w:val="17"/>
                <w:szCs w:val="17"/>
              </w:rPr>
              <w:t xml:space="preserve"> </w:t>
            </w:r>
            <w:r>
              <w:rPr>
                <w:rFonts w:ascii="宋体" w:hAnsi="宋体" w:eastAsia="宋体" w:cs="宋体"/>
                <w:spacing w:val="-9"/>
                <w:sz w:val="17"/>
                <w:szCs w:val="17"/>
              </w:rPr>
              <w:t>股</w:t>
            </w:r>
          </w:p>
        </w:tc>
        <w:tc>
          <w:tcPr>
            <w:tcW w:w="6234" w:type="dxa"/>
            <w:vMerge w:val="restart"/>
            <w:tcBorders>
              <w:bottom w:val="nil"/>
            </w:tcBorders>
            <w:vAlign w:val="top"/>
          </w:tcPr>
          <w:p>
            <w:pPr>
              <w:spacing w:line="343" w:lineRule="auto"/>
              <w:rPr>
                <w:rFonts w:ascii="Arial"/>
                <w:sz w:val="21"/>
              </w:rPr>
            </w:pPr>
          </w:p>
          <w:p>
            <w:pPr>
              <w:spacing w:before="56" w:line="231" w:lineRule="auto"/>
              <w:ind w:left="115"/>
              <w:rPr>
                <w:rFonts w:ascii="宋体" w:hAnsi="宋体" w:eastAsia="宋体" w:cs="宋体"/>
                <w:sz w:val="17"/>
                <w:szCs w:val="17"/>
              </w:rPr>
            </w:pPr>
            <w:r>
              <w:rPr>
                <w:rFonts w:ascii="宋体" w:hAnsi="宋体" w:eastAsia="宋体" w:cs="宋体"/>
                <w:spacing w:val="13"/>
                <w:sz w:val="17"/>
                <w:szCs w:val="17"/>
              </w:rPr>
              <w:t>按</w:t>
            </w:r>
            <w:r>
              <w:rPr>
                <w:rFonts w:ascii="宋体" w:hAnsi="宋体" w:eastAsia="宋体" w:cs="宋体"/>
                <w:spacing w:val="8"/>
                <w:sz w:val="17"/>
                <w:szCs w:val="17"/>
              </w:rPr>
              <w:t>成交金额的十万分之三。</w:t>
            </w:r>
          </w:p>
        </w:tc>
        <w:tc>
          <w:tcPr>
            <w:tcW w:w="1631" w:type="dxa"/>
            <w:vMerge w:val="restart"/>
            <w:tcBorders>
              <w:bottom w:val="nil"/>
            </w:tcBorders>
            <w:vAlign w:val="top"/>
          </w:tcPr>
          <w:p>
            <w:pPr>
              <w:spacing w:line="343" w:lineRule="auto"/>
              <w:rPr>
                <w:rFonts w:ascii="Arial"/>
                <w:sz w:val="21"/>
              </w:rPr>
            </w:pPr>
          </w:p>
          <w:p>
            <w:pPr>
              <w:spacing w:before="56" w:line="231" w:lineRule="auto"/>
              <w:ind w:left="373"/>
              <w:rPr>
                <w:rFonts w:ascii="宋体" w:hAnsi="宋体" w:eastAsia="宋体" w:cs="宋体"/>
                <w:sz w:val="17"/>
                <w:szCs w:val="17"/>
              </w:rPr>
            </w:pPr>
            <w:r>
              <w:rPr>
                <w:rFonts w:ascii="宋体" w:hAnsi="宋体" w:eastAsia="宋体" w:cs="宋体"/>
                <w:spacing w:val="10"/>
                <w:sz w:val="17"/>
                <w:szCs w:val="17"/>
              </w:rPr>
              <w:t>结</w:t>
            </w:r>
            <w:r>
              <w:rPr>
                <w:rFonts w:ascii="宋体" w:hAnsi="宋体" w:eastAsia="宋体" w:cs="宋体"/>
                <w:spacing w:val="7"/>
                <w:sz w:val="17"/>
                <w:szCs w:val="17"/>
              </w:rPr>
              <w:t>算参与人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419"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2408" w:type="dxa"/>
            <w:vAlign w:val="top"/>
          </w:tcPr>
          <w:p>
            <w:pPr>
              <w:spacing w:before="71" w:line="231" w:lineRule="auto"/>
              <w:ind w:left="669"/>
              <w:rPr>
                <w:rFonts w:ascii="宋体" w:hAnsi="宋体" w:eastAsia="宋体" w:cs="宋体"/>
                <w:sz w:val="17"/>
                <w:szCs w:val="17"/>
              </w:rPr>
            </w:pPr>
            <w:r>
              <w:rPr>
                <w:rFonts w:ascii="宋体" w:hAnsi="宋体" w:eastAsia="宋体" w:cs="宋体"/>
                <w:spacing w:val="12"/>
                <w:sz w:val="17"/>
                <w:szCs w:val="17"/>
              </w:rPr>
              <w:t>挂</w:t>
            </w:r>
            <w:r>
              <w:rPr>
                <w:rFonts w:ascii="宋体" w:hAnsi="宋体" w:eastAsia="宋体" w:cs="宋体"/>
                <w:spacing w:val="8"/>
                <w:sz w:val="17"/>
                <w:szCs w:val="17"/>
              </w:rPr>
              <w:t>牌公司股份</w:t>
            </w:r>
          </w:p>
        </w:tc>
        <w:tc>
          <w:tcPr>
            <w:tcW w:w="6234" w:type="dxa"/>
            <w:vMerge w:val="continue"/>
            <w:tcBorders>
              <w:top w:val="nil"/>
              <w:bottom w:val="nil"/>
            </w:tcBorders>
            <w:vAlign w:val="top"/>
          </w:tcPr>
          <w:p>
            <w:pPr>
              <w:rPr>
                <w:rFonts w:ascii="Arial"/>
                <w:sz w:val="21"/>
              </w:rPr>
            </w:pPr>
          </w:p>
        </w:tc>
        <w:tc>
          <w:tcPr>
            <w:tcW w:w="163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419"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2408" w:type="dxa"/>
            <w:vAlign w:val="top"/>
          </w:tcPr>
          <w:p>
            <w:pPr>
              <w:spacing w:before="72" w:line="230" w:lineRule="auto"/>
              <w:ind w:left="669"/>
              <w:rPr>
                <w:rFonts w:ascii="宋体" w:hAnsi="宋体" w:eastAsia="宋体" w:cs="宋体"/>
                <w:sz w:val="17"/>
                <w:szCs w:val="17"/>
              </w:rPr>
            </w:pPr>
            <w:r>
              <w:rPr>
                <w:rFonts w:ascii="宋体" w:hAnsi="宋体" w:eastAsia="宋体" w:cs="宋体"/>
                <w:spacing w:val="12"/>
                <w:sz w:val="17"/>
                <w:szCs w:val="17"/>
              </w:rPr>
              <w:t>退</w:t>
            </w:r>
            <w:r>
              <w:rPr>
                <w:rFonts w:ascii="宋体" w:hAnsi="宋体" w:eastAsia="宋体" w:cs="宋体"/>
                <w:spacing w:val="8"/>
                <w:sz w:val="17"/>
                <w:szCs w:val="17"/>
              </w:rPr>
              <w:t>市板块股份</w:t>
            </w:r>
          </w:p>
        </w:tc>
        <w:tc>
          <w:tcPr>
            <w:tcW w:w="6234" w:type="dxa"/>
            <w:vMerge w:val="continue"/>
            <w:tcBorders>
              <w:top w:val="nil"/>
            </w:tcBorders>
            <w:vAlign w:val="top"/>
          </w:tcPr>
          <w:p>
            <w:pPr>
              <w:rPr>
                <w:rFonts w:ascii="Arial"/>
                <w:sz w:val="21"/>
              </w:rPr>
            </w:pPr>
          </w:p>
        </w:tc>
        <w:tc>
          <w:tcPr>
            <w:tcW w:w="1631" w:type="dxa"/>
            <w:vMerge w:val="continue"/>
            <w:tcBorders>
              <w:top w:val="nil"/>
            </w:tcBorders>
            <w:vAlign w:val="top"/>
          </w:tcPr>
          <w:p>
            <w:pPr>
              <w:rPr>
                <w:rFonts w:ascii="Arial"/>
                <w:sz w:val="21"/>
              </w:rPr>
            </w:pPr>
          </w:p>
        </w:tc>
      </w:tr>
    </w:tbl>
    <w:p>
      <w:pPr>
        <w:spacing w:before="65" w:line="339" w:lineRule="auto"/>
        <w:ind w:left="26" w:right="571"/>
        <w:rPr>
          <w:rFonts w:ascii="宋体" w:hAnsi="宋体" w:eastAsia="宋体" w:cs="宋体"/>
          <w:sz w:val="17"/>
          <w:szCs w:val="17"/>
        </w:rPr>
      </w:pPr>
      <w:r>
        <w:rPr>
          <w:rFonts w:ascii="宋体" w:hAnsi="宋体" w:eastAsia="宋体" w:cs="宋体"/>
          <w:spacing w:val="10"/>
          <w:sz w:val="17"/>
          <w:szCs w:val="17"/>
        </w:rPr>
        <w:t>注：1、如涉及终止挂牌专区相关业务，证券登记结算业务收费标准按照全国股转系统挂牌公司收费标准执行；根据全国股转公司安排，终止挂牌专区股票转让经手费由本公</w:t>
      </w:r>
      <w:r>
        <w:rPr>
          <w:rFonts w:ascii="宋体" w:hAnsi="宋体" w:eastAsia="宋体" w:cs="宋体"/>
          <w:spacing w:val="6"/>
          <w:sz w:val="17"/>
          <w:szCs w:val="17"/>
        </w:rPr>
        <w:t>司</w:t>
      </w:r>
      <w:r>
        <w:rPr>
          <w:rFonts w:ascii="宋体" w:hAnsi="宋体" w:eastAsia="宋体" w:cs="宋体"/>
          <w:sz w:val="17"/>
          <w:szCs w:val="17"/>
        </w:rPr>
        <w:t xml:space="preserve">按 </w:t>
      </w:r>
      <w:r>
        <w:rPr>
          <w:rFonts w:ascii="宋体" w:hAnsi="宋体" w:eastAsia="宋体" w:cs="宋体"/>
          <w:spacing w:val="4"/>
          <w:sz w:val="17"/>
          <w:szCs w:val="17"/>
        </w:rPr>
        <w:t>照退市</w:t>
      </w:r>
      <w:r>
        <w:rPr>
          <w:rFonts w:ascii="宋体" w:hAnsi="宋体" w:eastAsia="宋体" w:cs="宋体"/>
          <w:spacing w:val="3"/>
          <w:sz w:val="17"/>
          <w:szCs w:val="17"/>
        </w:rPr>
        <w:t xml:space="preserve"> </w:t>
      </w:r>
      <w:r>
        <w:rPr>
          <w:rFonts w:ascii="宋体" w:hAnsi="宋体" w:eastAsia="宋体" w:cs="宋体"/>
          <w:sz w:val="17"/>
          <w:szCs w:val="17"/>
        </w:rPr>
        <w:t>A</w:t>
      </w:r>
      <w:r>
        <w:rPr>
          <w:rFonts w:ascii="宋体" w:hAnsi="宋体" w:eastAsia="宋体" w:cs="宋体"/>
          <w:spacing w:val="2"/>
          <w:sz w:val="17"/>
          <w:szCs w:val="17"/>
        </w:rPr>
        <w:t xml:space="preserve"> 股相应收费标准代收。</w:t>
      </w:r>
    </w:p>
    <w:p>
      <w:pPr>
        <w:spacing w:before="1" w:line="338" w:lineRule="auto"/>
        <w:ind w:left="28" w:right="571" w:firstLine="360"/>
        <w:rPr>
          <w:rFonts w:ascii="宋体" w:hAnsi="宋体" w:eastAsia="宋体" w:cs="宋体"/>
          <w:sz w:val="17"/>
          <w:szCs w:val="17"/>
        </w:rPr>
      </w:pPr>
      <w:r>
        <w:rPr>
          <w:rFonts w:ascii="宋体" w:hAnsi="宋体" w:eastAsia="宋体" w:cs="宋体"/>
          <w:spacing w:val="18"/>
          <w:sz w:val="17"/>
          <w:szCs w:val="17"/>
        </w:rPr>
        <w:t>2、北京证券</w:t>
      </w:r>
      <w:r>
        <w:rPr>
          <w:rFonts w:ascii="宋体" w:hAnsi="宋体" w:eastAsia="宋体" w:cs="宋体"/>
          <w:spacing w:val="15"/>
          <w:sz w:val="17"/>
          <w:szCs w:val="17"/>
        </w:rPr>
        <w:t>交</w:t>
      </w:r>
      <w:r>
        <w:rPr>
          <w:rFonts w:ascii="宋体" w:hAnsi="宋体" w:eastAsia="宋体" w:cs="宋体"/>
          <w:spacing w:val="9"/>
          <w:sz w:val="17"/>
          <w:szCs w:val="17"/>
        </w:rPr>
        <w:t>易所上市公司转板至上海证券交易所、深圳证券交易所上市的，转板证券登记费按沪深市场与北京市场上市证券登记费的差额收取；跨市场转登记当年，信息</w:t>
      </w:r>
      <w:r>
        <w:rPr>
          <w:rFonts w:ascii="宋体" w:hAnsi="宋体" w:eastAsia="宋体" w:cs="宋体"/>
          <w:sz w:val="17"/>
          <w:szCs w:val="17"/>
        </w:rPr>
        <w:t xml:space="preserve"> </w:t>
      </w:r>
      <w:r>
        <w:rPr>
          <w:rFonts w:ascii="宋体" w:hAnsi="宋体" w:eastAsia="宋体" w:cs="宋体"/>
          <w:spacing w:val="6"/>
          <w:sz w:val="17"/>
          <w:szCs w:val="17"/>
        </w:rPr>
        <w:t>查</w:t>
      </w:r>
      <w:r>
        <w:rPr>
          <w:rFonts w:ascii="宋体" w:hAnsi="宋体" w:eastAsia="宋体" w:cs="宋体"/>
          <w:spacing w:val="3"/>
          <w:sz w:val="17"/>
          <w:szCs w:val="17"/>
        </w:rPr>
        <w:t>询服务费按 1,200 元人民币/年收取。</w:t>
      </w:r>
    </w:p>
    <w:p>
      <w:pPr>
        <w:spacing w:line="231" w:lineRule="exact"/>
        <w:ind w:left="390"/>
        <w:rPr>
          <w:rFonts w:ascii="宋体" w:hAnsi="宋体" w:eastAsia="宋体" w:cs="宋体"/>
          <w:sz w:val="17"/>
          <w:szCs w:val="17"/>
        </w:rPr>
      </w:pPr>
      <w:r>
        <w:rPr>
          <w:rFonts w:ascii="宋体" w:hAnsi="宋体" w:eastAsia="宋体" w:cs="宋体"/>
          <w:spacing w:val="18"/>
          <w:position w:val="1"/>
          <w:sz w:val="17"/>
          <w:szCs w:val="17"/>
        </w:rPr>
        <w:t>3、如有其</w:t>
      </w:r>
      <w:r>
        <w:rPr>
          <w:rFonts w:ascii="宋体" w:hAnsi="宋体" w:eastAsia="宋体" w:cs="宋体"/>
          <w:spacing w:val="10"/>
          <w:position w:val="1"/>
          <w:sz w:val="17"/>
          <w:szCs w:val="17"/>
        </w:rPr>
        <w:t>他</w:t>
      </w:r>
      <w:r>
        <w:rPr>
          <w:rFonts w:ascii="宋体" w:hAnsi="宋体" w:eastAsia="宋体" w:cs="宋体"/>
          <w:spacing w:val="9"/>
          <w:position w:val="1"/>
          <w:sz w:val="17"/>
          <w:szCs w:val="17"/>
        </w:rPr>
        <w:t>业务涉及收费的，相应的收费标准按相关业务规定执行；有关业务收费另有暂免安排的，按相关业务规定执行；代收税费按照收取单位的有关规定执行。</w:t>
      </w:r>
    </w:p>
    <w:p>
      <w:pPr>
        <w:spacing w:before="80" w:line="339" w:lineRule="auto"/>
        <w:ind w:left="26" w:right="571" w:firstLine="360"/>
        <w:rPr>
          <w:rFonts w:ascii="宋体" w:hAnsi="宋体" w:eastAsia="宋体" w:cs="宋体"/>
          <w:sz w:val="17"/>
          <w:szCs w:val="17"/>
        </w:rPr>
      </w:pPr>
      <w:r>
        <w:rPr>
          <w:rFonts w:ascii="宋体" w:hAnsi="宋体" w:eastAsia="宋体" w:cs="宋体"/>
          <w:spacing w:val="10"/>
          <w:sz w:val="17"/>
          <w:szCs w:val="17"/>
        </w:rPr>
        <w:t>4、按照《证券结算风险基金管理办法》的有关规定，基金净资产总额达到上限的，已交纳本基金满一年的结算参与人不再交纳。对于新加入结算系统的结算参与人，当</w:t>
      </w:r>
      <w:r>
        <w:rPr>
          <w:rFonts w:ascii="宋体" w:hAnsi="宋体" w:eastAsia="宋体" w:cs="宋体"/>
          <w:spacing w:val="7"/>
          <w:sz w:val="17"/>
          <w:szCs w:val="17"/>
        </w:rPr>
        <w:t>自</w:t>
      </w:r>
      <w:r>
        <w:rPr>
          <w:rFonts w:ascii="宋体" w:hAnsi="宋体" w:eastAsia="宋体" w:cs="宋体"/>
          <w:sz w:val="17"/>
          <w:szCs w:val="17"/>
        </w:rPr>
        <w:t xml:space="preserve">加 </w:t>
      </w:r>
      <w:r>
        <w:rPr>
          <w:rFonts w:ascii="宋体" w:hAnsi="宋体" w:eastAsia="宋体" w:cs="宋体"/>
          <w:spacing w:val="14"/>
          <w:sz w:val="17"/>
          <w:szCs w:val="17"/>
        </w:rPr>
        <w:t>入</w:t>
      </w:r>
      <w:r>
        <w:rPr>
          <w:rFonts w:ascii="宋体" w:hAnsi="宋体" w:eastAsia="宋体" w:cs="宋体"/>
          <w:spacing w:val="9"/>
          <w:sz w:val="17"/>
          <w:szCs w:val="17"/>
        </w:rPr>
        <w:t>结算系统后，交纳本基金的时间不得少于一年。</w:t>
      </w:r>
    </w:p>
    <w:p>
      <w:pPr>
        <w:spacing w:line="231" w:lineRule="exact"/>
        <w:ind w:left="390"/>
        <w:rPr>
          <w:rFonts w:ascii="宋体" w:hAnsi="宋体" w:eastAsia="宋体" w:cs="宋体"/>
          <w:sz w:val="17"/>
          <w:szCs w:val="17"/>
        </w:rPr>
      </w:pPr>
      <w:r>
        <w:rPr>
          <w:rFonts w:ascii="宋体" w:hAnsi="宋体" w:eastAsia="宋体" w:cs="宋体"/>
          <w:spacing w:val="18"/>
          <w:position w:val="1"/>
          <w:sz w:val="17"/>
          <w:szCs w:val="17"/>
        </w:rPr>
        <w:t>5、股</w:t>
      </w:r>
      <w:r>
        <w:rPr>
          <w:rFonts w:ascii="宋体" w:hAnsi="宋体" w:eastAsia="宋体" w:cs="宋体"/>
          <w:spacing w:val="14"/>
          <w:position w:val="1"/>
          <w:sz w:val="17"/>
          <w:szCs w:val="17"/>
        </w:rPr>
        <w:t>权</w:t>
      </w:r>
      <w:r>
        <w:rPr>
          <w:rFonts w:ascii="宋体" w:hAnsi="宋体" w:eastAsia="宋体" w:cs="宋体"/>
          <w:spacing w:val="9"/>
          <w:position w:val="1"/>
          <w:sz w:val="17"/>
          <w:szCs w:val="17"/>
        </w:rPr>
        <w:t>激励业务授予限制性股票或股票期权行权的，根据股票来源不同，分别收取证券登记费或非交易过户费及非交易转让印花税。</w:t>
      </w:r>
    </w:p>
    <w:p>
      <w:pPr>
        <w:spacing w:before="81" w:line="339" w:lineRule="auto"/>
        <w:ind w:left="27" w:right="571" w:firstLine="360"/>
        <w:rPr>
          <w:rFonts w:ascii="宋体" w:hAnsi="宋体" w:eastAsia="宋体" w:cs="宋体"/>
          <w:sz w:val="17"/>
          <w:szCs w:val="17"/>
        </w:rPr>
      </w:pPr>
      <w:r>
        <w:rPr>
          <w:rFonts w:ascii="宋体" w:hAnsi="宋体" w:eastAsia="宋体" w:cs="宋体"/>
          <w:spacing w:val="10"/>
          <w:sz w:val="17"/>
          <w:szCs w:val="17"/>
        </w:rPr>
        <w:t>6、上述收费一览表中列示的优先股含北交所上市公司优先股和股转系统挂牌公司优先股，可转换公司债券含北交所上市公司可转换公司债券、股转系统挂牌公司可转换</w:t>
      </w:r>
      <w:r>
        <w:rPr>
          <w:rFonts w:ascii="宋体" w:hAnsi="宋体" w:eastAsia="宋体" w:cs="宋体"/>
          <w:spacing w:val="5"/>
          <w:sz w:val="17"/>
          <w:szCs w:val="17"/>
        </w:rPr>
        <w:t>公</w:t>
      </w:r>
      <w:r>
        <w:rPr>
          <w:rFonts w:ascii="宋体" w:hAnsi="宋体" w:eastAsia="宋体" w:cs="宋体"/>
          <w:sz w:val="17"/>
          <w:szCs w:val="17"/>
        </w:rPr>
        <w:t xml:space="preserve">司 </w:t>
      </w:r>
      <w:r>
        <w:rPr>
          <w:rFonts w:ascii="宋体" w:hAnsi="宋体" w:eastAsia="宋体" w:cs="宋体"/>
          <w:spacing w:val="18"/>
          <w:sz w:val="17"/>
          <w:szCs w:val="17"/>
        </w:rPr>
        <w:t>债券和</w:t>
      </w:r>
      <w:r>
        <w:rPr>
          <w:rFonts w:ascii="宋体" w:hAnsi="宋体" w:eastAsia="宋体" w:cs="宋体"/>
          <w:spacing w:val="17"/>
          <w:sz w:val="17"/>
          <w:szCs w:val="17"/>
        </w:rPr>
        <w:t>退</w:t>
      </w:r>
      <w:r>
        <w:rPr>
          <w:rFonts w:ascii="宋体" w:hAnsi="宋体" w:eastAsia="宋体" w:cs="宋体"/>
          <w:spacing w:val="9"/>
          <w:sz w:val="17"/>
          <w:szCs w:val="17"/>
        </w:rPr>
        <w:t>市板块公司可转换公司债券。各板块同类型业务收费标准不一致的已单独注明，收费标准一致的不再单独注明。</w:t>
      </w:r>
    </w:p>
    <w:p>
      <w:pPr>
        <w:spacing w:line="231" w:lineRule="exact"/>
        <w:ind w:left="391"/>
        <w:rPr>
          <w:rFonts w:ascii="宋体" w:hAnsi="宋体" w:eastAsia="宋体" w:cs="宋体"/>
          <w:sz w:val="17"/>
          <w:szCs w:val="17"/>
        </w:rPr>
      </w:pPr>
      <w:r>
        <w:rPr>
          <w:rFonts w:ascii="宋体" w:hAnsi="宋体" w:eastAsia="宋体" w:cs="宋体"/>
          <w:spacing w:val="10"/>
          <w:position w:val="1"/>
          <w:sz w:val="17"/>
          <w:szCs w:val="17"/>
        </w:rPr>
        <w:t>7</w:t>
      </w:r>
      <w:r>
        <w:rPr>
          <w:rFonts w:ascii="宋体" w:hAnsi="宋体" w:eastAsia="宋体" w:cs="宋体"/>
          <w:spacing w:val="9"/>
          <w:position w:val="1"/>
          <w:sz w:val="17"/>
          <w:szCs w:val="17"/>
        </w:rPr>
        <w:t>、上述收费一览表中列示的本公司业务收费标准均包含增值税。</w:t>
      </w:r>
    </w:p>
    <w:sectPr>
      <w:pgSz w:w="16839" w:h="11906"/>
      <w:pgMar w:top="1012" w:right="878" w:bottom="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EzZDA5YmE5NTI3MTcyNjJhNzcxNTQ5NjZkY2U4ZTgifQ=="/>
  </w:docVars>
  <w:rsids>
    <w:rsidRoot w:val="00000000"/>
    <w:rsid w:val="03782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2513</Words>
  <Characters>2629</Characters>
  <TotalTime>1</TotalTime>
  <ScaleCrop>false</ScaleCrop>
  <LinksUpToDate>false</LinksUpToDate>
  <CharactersWithSpaces>2807</CharactersWithSpaces>
  <Application>WPS Office_11.1.0.15313_F1E327BC-269C-435d-A152-05C5408002CA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2023-08-27T20:49:00Z</dcterms:created>
  <dc:creator>CN=刘惠文/OU=资产财务部/OU=公司总部/O=ChinaClear</dc:creator>
  <cp:lastModifiedBy>Tomato</cp:lastModifiedBy>
  <dcterms:modified xsi:type="dcterms:W3CDTF">2023-08-28T02:41:09Z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2023-08-28T10:10:20Z</vt:filetime>
  </property>
  <property fmtid="{D5CDD505-2E9C-101B-9397-08002B2CF9AE}" pid="4" name="KSOProductBuildVer">
    <vt:lpwstr>2052-11.1.0.15313</vt:lpwstr>
  </property>
  <property fmtid="{D5CDD505-2E9C-101B-9397-08002B2CF9AE}" pid="5" name="ICV">
    <vt:lpwstr>A415826503CE4C85953129238E6B109D_13</vt:lpwstr>
  </property>
</Properties>
</file>