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973"/>
        <w:gridCol w:w="45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9520"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b/>
                <w:bCs/>
                <w:sz w:val="44"/>
                <w:szCs w:val="44"/>
              </w:rPr>
            </w:pPr>
            <w:r>
              <w:rPr>
                <w:rFonts w:hint="eastAsia"/>
                <w:b/>
                <w:bCs/>
                <w:sz w:val="44"/>
                <w:szCs w:val="44"/>
              </w:rPr>
              <w:t>海通证券股份有限公司</w:t>
            </w:r>
            <w:r>
              <w:rPr>
                <w:rFonts w:hint="eastAsia"/>
                <w:b/>
                <w:bCs/>
                <w:sz w:val="44"/>
                <w:szCs w:val="44"/>
                <w:lang w:val="en-US" w:eastAsia="zh-CN"/>
              </w:rPr>
              <w:t>龙岩龙腾中路</w:t>
            </w:r>
            <w:r>
              <w:rPr>
                <w:rFonts w:hint="eastAsia"/>
                <w:b/>
                <w:bCs/>
                <w:sz w:val="44"/>
                <w:szCs w:val="44"/>
              </w:rPr>
              <w:t>证券营业部</w:t>
            </w:r>
          </w:p>
          <w:p>
            <w:pPr>
              <w:jc w:val="center"/>
              <w:rPr>
                <w:rFonts w:ascii="Calibri" w:hAnsi="Calibri" w:cs="Calibri"/>
                <w:sz w:val="21"/>
                <w:szCs w:val="21"/>
              </w:rPr>
            </w:pPr>
            <w:r>
              <w:rPr>
                <w:rFonts w:hint="eastAsia"/>
                <w:b/>
                <w:bCs/>
                <w:sz w:val="44"/>
                <w:szCs w:val="44"/>
                <w:lang w:val="en-US" w:eastAsia="zh-CN"/>
              </w:rPr>
              <w:t>证券交易</w:t>
            </w:r>
            <w:r>
              <w:rPr>
                <w:rFonts w:hint="eastAsia"/>
                <w:b/>
                <w:bCs/>
                <w:sz w:val="44"/>
                <w:szCs w:val="44"/>
              </w:rPr>
              <w:t>佣金</w:t>
            </w:r>
            <w:r>
              <w:rPr>
                <w:rFonts w:hint="eastAsia"/>
                <w:b/>
                <w:bCs/>
                <w:sz w:val="44"/>
                <w:szCs w:val="44"/>
                <w:lang w:val="en-US" w:eastAsia="zh-CN"/>
              </w:rPr>
              <w:t>收取标准公示</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9520" w:type="dxa"/>
            <w:gridSpan w:val="2"/>
            <w:tcBorders>
              <w:top w:val="nil"/>
              <w:left w:val="nil"/>
              <w:bottom w:val="single" w:color="auto" w:sz="8" w:space="0"/>
              <w:right w:val="nil"/>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520" w:right="0" w:hanging="520" w:hangingChars="200"/>
              <w:jc w:val="both"/>
              <w:textAlignment w:val="center"/>
              <w:rPr>
                <w:rFonts w:hint="eastAsia" w:ascii="宋体" w:hAnsi="宋体" w:eastAsia="宋体" w:cs="宋体"/>
                <w:color w:val="000000"/>
                <w:sz w:val="26"/>
                <w:szCs w:val="26"/>
              </w:rPr>
            </w:pPr>
            <w:r>
              <w:rPr>
                <w:rFonts w:hint="eastAsia" w:ascii="宋体" w:hAnsi="宋体" w:eastAsia="宋体" w:cs="宋体"/>
                <w:color w:val="000000"/>
                <w:sz w:val="26"/>
                <w:szCs w:val="26"/>
              </w:rPr>
              <w:t>尊敬的</w:t>
            </w:r>
            <w:r>
              <w:rPr>
                <w:rFonts w:hint="eastAsia" w:ascii="宋体" w:hAnsi="宋体" w:eastAsia="宋体" w:cs="宋体"/>
                <w:color w:val="000000"/>
                <w:sz w:val="26"/>
                <w:szCs w:val="26"/>
                <w:lang w:val="en-US" w:eastAsia="zh-CN"/>
              </w:rPr>
              <w:t>投资者</w:t>
            </w:r>
            <w:r>
              <w:rPr>
                <w:rFonts w:hint="eastAsia" w:ascii="宋体" w:hAnsi="宋体" w:eastAsia="宋体" w:cs="宋体"/>
                <w:color w:val="000000"/>
                <w:sz w:val="26"/>
                <w:szCs w:val="26"/>
              </w:rPr>
              <w:t>：</w:t>
            </w:r>
            <w:r>
              <w:rPr>
                <w:rFonts w:hint="eastAsia" w:ascii="宋体" w:hAnsi="宋体" w:eastAsia="宋体" w:cs="宋体"/>
                <w:color w:val="000000"/>
                <w:sz w:val="26"/>
                <w:szCs w:val="26"/>
              </w:rPr>
              <w:br w:type="textWrapping"/>
            </w:r>
            <w:r>
              <w:rPr>
                <w:rFonts w:hint="eastAsia" w:ascii="宋体" w:hAnsi="宋体" w:eastAsia="宋体" w:cs="宋体"/>
                <w:color w:val="000000"/>
                <w:sz w:val="26"/>
                <w:szCs w:val="26"/>
              </w:rPr>
              <w:t>根据证券监管机构关于投资者服务和佣金管理的有关规定，现将公司证券交易佣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520" w:right="0" w:hanging="520" w:hangingChars="200"/>
              <w:jc w:val="both"/>
              <w:textAlignment w:val="center"/>
              <w:rPr>
                <w:rFonts w:hint="eastAsia" w:ascii="宋体" w:hAnsi="宋体" w:eastAsia="宋体" w:cs="宋体"/>
                <w:color w:val="000000"/>
                <w:sz w:val="26"/>
                <w:szCs w:val="26"/>
              </w:rPr>
            </w:pPr>
            <w:r>
              <w:rPr>
                <w:rFonts w:hint="eastAsia" w:ascii="宋体" w:hAnsi="宋体" w:eastAsia="宋体" w:cs="宋体"/>
                <w:color w:val="000000"/>
                <w:sz w:val="26"/>
                <w:szCs w:val="26"/>
              </w:rPr>
              <w:t>金收费标准告知如下：</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200" w:right="0" w:rightChars="0" w:firstLine="1040" w:firstLineChars="400"/>
              <w:jc w:val="both"/>
              <w:textAlignment w:val="center"/>
              <w:rPr>
                <w:rFonts w:hint="eastAsia" w:ascii="宋体" w:hAnsi="宋体" w:eastAsia="宋体" w:cs="宋体"/>
                <w:color w:val="000000"/>
                <w:sz w:val="26"/>
                <w:szCs w:val="26"/>
                <w:lang w:val="en-US" w:eastAsia="zh-CN"/>
              </w:rPr>
            </w:pPr>
            <w:r>
              <w:rPr>
                <w:rFonts w:hint="eastAsia" w:ascii="宋体" w:hAnsi="宋体" w:eastAsia="宋体" w:cs="宋体"/>
                <w:color w:val="000000"/>
                <w:sz w:val="26"/>
                <w:szCs w:val="26"/>
                <w:lang w:val="en-US" w:eastAsia="zh-CN"/>
              </w:rPr>
              <w:t>一、近期税费政策</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520" w:firstLineChars="200"/>
              <w:jc w:val="both"/>
              <w:textAlignment w:val="center"/>
              <w:rPr>
                <w:rFonts w:hint="eastAsia" w:ascii="宋体" w:hAnsi="宋体" w:eastAsia="宋体" w:cs="宋体"/>
                <w:color w:val="000000"/>
                <w:sz w:val="26"/>
                <w:szCs w:val="26"/>
                <w:lang w:val="en-US" w:eastAsia="zh-CN"/>
              </w:rPr>
            </w:pPr>
            <w:r>
              <w:rPr>
                <w:rFonts w:hint="eastAsia" w:ascii="宋体" w:hAnsi="宋体" w:eastAsia="宋体" w:cs="宋体"/>
                <w:color w:val="000000"/>
                <w:sz w:val="26"/>
                <w:szCs w:val="26"/>
                <w:lang w:val="en-US" w:eastAsia="zh-CN"/>
              </w:rPr>
              <w:t>1.</w:t>
            </w:r>
            <w:r>
              <w:rPr>
                <w:rFonts w:hint="eastAsia" w:ascii="宋体" w:hAnsi="宋体" w:eastAsia="宋体" w:cs="宋体"/>
                <w:color w:val="FF0000"/>
                <w:sz w:val="26"/>
                <w:szCs w:val="26"/>
                <w:lang w:val="en-US" w:eastAsia="zh-CN"/>
              </w:rPr>
              <w:t>经手费及佣金下调：</w:t>
            </w:r>
            <w:r>
              <w:rPr>
                <w:rFonts w:hint="eastAsia" w:ascii="宋体" w:hAnsi="宋体" w:eastAsia="宋体" w:cs="宋体"/>
                <w:color w:val="000000"/>
                <w:sz w:val="26"/>
                <w:szCs w:val="26"/>
                <w:lang w:val="en-US" w:eastAsia="zh-CN"/>
              </w:rPr>
              <w:t>自2023年8月28日起，沪、深、北交易所下调股票交易经手费，公司对存量投资者同步下调交易佣金。其中，沪深交易所A股、B股、存托凭证品种的交易佣金，将在投资者原有佣金基础上统一下调0.00146%；沪深A股、沪市B股大宗交易佣金将在投资者原有佣金基础上统一下调0.001022%，深市B股大宗交易将在投资者原有佣金基础上统一下调0.00073%；北交所普通股、优先股交易佣金将在投资者原有佣金基础上统一下调0.0125%。</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520" w:firstLineChars="200"/>
              <w:jc w:val="both"/>
              <w:textAlignment w:val="center"/>
              <w:rPr>
                <w:rFonts w:hint="eastAsia" w:ascii="宋体" w:hAnsi="宋体" w:eastAsia="宋体" w:cs="宋体"/>
                <w:color w:val="000000"/>
                <w:sz w:val="26"/>
                <w:szCs w:val="26"/>
                <w:lang w:val="en-US" w:eastAsia="zh-CN"/>
              </w:rPr>
            </w:pPr>
            <w:r>
              <w:rPr>
                <w:rFonts w:hint="eastAsia" w:ascii="宋体" w:hAnsi="宋体" w:eastAsia="宋体" w:cs="宋体"/>
                <w:color w:val="000000"/>
                <w:sz w:val="26"/>
                <w:szCs w:val="26"/>
                <w:lang w:val="en-US" w:eastAsia="zh-CN"/>
              </w:rPr>
              <w:t>2.</w:t>
            </w:r>
            <w:r>
              <w:rPr>
                <w:rFonts w:hint="eastAsia" w:ascii="宋体" w:hAnsi="宋体" w:eastAsia="宋体" w:cs="宋体"/>
                <w:color w:val="FF0000"/>
                <w:sz w:val="26"/>
                <w:szCs w:val="26"/>
                <w:lang w:val="en-US" w:eastAsia="zh-CN"/>
              </w:rPr>
              <w:t>印花税下调：</w:t>
            </w:r>
            <w:r>
              <w:rPr>
                <w:rFonts w:hint="eastAsia" w:ascii="宋体" w:hAnsi="宋体" w:eastAsia="宋体" w:cs="宋体"/>
                <w:color w:val="000000"/>
                <w:sz w:val="26"/>
                <w:szCs w:val="26"/>
                <w:lang w:val="en-US" w:eastAsia="zh-CN"/>
              </w:rPr>
              <w:t>根据财政部、税务总局公告，自2023年8月28日起，证券交易印花税实施减半征收。我公司将同步按上述标准执行。</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520" w:firstLineChars="200"/>
              <w:jc w:val="both"/>
              <w:textAlignment w:val="center"/>
              <w:rPr>
                <w:rFonts w:hint="default" w:ascii="宋体" w:hAnsi="宋体" w:eastAsia="宋体" w:cs="宋体"/>
                <w:color w:val="000000"/>
                <w:sz w:val="26"/>
                <w:szCs w:val="26"/>
                <w:lang w:val="en-US" w:eastAsia="zh-CN"/>
              </w:rPr>
            </w:pPr>
            <w:r>
              <w:rPr>
                <w:rFonts w:hint="eastAsia" w:ascii="宋体" w:hAnsi="宋体" w:eastAsia="宋体" w:cs="宋体"/>
                <w:color w:val="000000"/>
                <w:sz w:val="26"/>
                <w:szCs w:val="26"/>
                <w:lang w:val="en-US" w:eastAsia="zh-CN"/>
              </w:rPr>
              <w:t>二、证券交易佣金收取标准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497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default" w:ascii="Calibri" w:hAnsi="Calibri" w:cs="Calibri" w:eastAsiaTheme="minorEastAsia"/>
                <w:sz w:val="21"/>
                <w:szCs w:val="21"/>
                <w:lang w:val="en-US" w:eastAsia="zh-CN"/>
              </w:rPr>
            </w:pPr>
            <w:r>
              <w:rPr>
                <w:rFonts w:hint="eastAsia" w:ascii="宋体" w:hAnsi="宋体" w:eastAsia="宋体" w:cs="宋体"/>
                <w:b/>
                <w:color w:val="000000"/>
                <w:sz w:val="24"/>
                <w:szCs w:val="24"/>
                <w:lang w:val="en-US" w:eastAsia="zh-CN"/>
              </w:rPr>
              <w:t>业务类别</w:t>
            </w:r>
          </w:p>
        </w:tc>
        <w:tc>
          <w:tcPr>
            <w:tcW w:w="45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default" w:ascii="Calibri" w:hAnsi="Calibri" w:cs="Calibri" w:eastAsiaTheme="minorEastAsia"/>
                <w:sz w:val="21"/>
                <w:szCs w:val="21"/>
                <w:lang w:val="en-US" w:eastAsia="zh-CN"/>
              </w:rPr>
            </w:pPr>
            <w:r>
              <w:rPr>
                <w:rFonts w:hint="eastAsia" w:ascii="宋体" w:hAnsi="宋体" w:eastAsia="宋体" w:cs="宋体"/>
                <w:b/>
                <w:color w:val="000000"/>
                <w:sz w:val="24"/>
                <w:szCs w:val="24"/>
                <w:lang w:val="en-US" w:eastAsia="zh-CN"/>
              </w:rPr>
              <w:t>佣金收取标准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2" w:hRule="atLeast"/>
          <w:jc w:val="center"/>
        </w:trPr>
        <w:tc>
          <w:tcPr>
            <w:tcW w:w="497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A股、优先股</w:t>
            </w:r>
          </w:p>
        </w:tc>
        <w:tc>
          <w:tcPr>
            <w:tcW w:w="454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不超过成交金额的0.3%，起点5元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B股</w:t>
            </w:r>
          </w:p>
        </w:tc>
        <w:tc>
          <w:tcPr>
            <w:tcW w:w="4547"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不超过成交金额的0.3%，起点1美元（沪市）或5港元（深市）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rFonts w:hint="eastAsia" w:ascii="宋体" w:hAnsi="宋体" w:eastAsia="宋体" w:cs="宋体"/>
                <w:sz w:val="24"/>
                <w:szCs w:val="24"/>
              </w:rPr>
            </w:pPr>
            <w:r>
              <w:rPr>
                <w:rFonts w:hint="eastAsia" w:ascii="宋体" w:hAnsi="宋体" w:eastAsia="宋体" w:cs="宋体"/>
                <w:sz w:val="24"/>
                <w:szCs w:val="24"/>
              </w:rPr>
              <w:t>新三板、北交所</w:t>
            </w:r>
          </w:p>
        </w:tc>
        <w:tc>
          <w:tcPr>
            <w:tcW w:w="4547" w:type="dxa"/>
            <w:tcBorders>
              <w:top w:val="nil"/>
              <w:left w:val="nil"/>
              <w:bottom w:val="single" w:color="auto" w:sz="8" w:space="0"/>
              <w:right w:val="single" w:color="auto" w:sz="8" w:space="0"/>
            </w:tcBorders>
            <w:shd w:val="clear" w:color="auto" w:fill="FFFFFF"/>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不超过成交金额的0.15%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rFonts w:hint="eastAsia" w:ascii="宋体" w:hAnsi="宋体" w:eastAsia="宋体" w:cs="宋体"/>
                <w:sz w:val="24"/>
                <w:szCs w:val="24"/>
              </w:rPr>
            </w:pPr>
            <w:r>
              <w:rPr>
                <w:rFonts w:hint="eastAsia" w:ascii="宋体" w:hAnsi="宋体" w:eastAsia="宋体" w:cs="宋体"/>
                <w:sz w:val="24"/>
                <w:szCs w:val="24"/>
              </w:rPr>
              <w:t>两网及退市股份</w:t>
            </w:r>
          </w:p>
        </w:tc>
        <w:tc>
          <w:tcPr>
            <w:tcW w:w="4547" w:type="dxa"/>
            <w:tcBorders>
              <w:top w:val="nil"/>
              <w:left w:val="nil"/>
              <w:bottom w:val="single" w:color="auto" w:sz="8" w:space="0"/>
              <w:right w:val="single" w:color="auto" w:sz="8" w:space="0"/>
            </w:tcBorders>
            <w:shd w:val="clear" w:color="auto" w:fill="FFFFFF"/>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不超过成交金额的0.3%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港股通</w:t>
            </w:r>
          </w:p>
        </w:tc>
        <w:tc>
          <w:tcPr>
            <w:tcW w:w="4547" w:type="dxa"/>
            <w:tcBorders>
              <w:top w:val="nil"/>
              <w:left w:val="nil"/>
              <w:bottom w:val="single" w:color="auto" w:sz="8" w:space="0"/>
              <w:right w:val="single" w:color="auto" w:sz="8" w:space="0"/>
            </w:tcBorders>
            <w:shd w:val="clear" w:color="auto" w:fill="FFFFFF"/>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参照A股标准执行，不包含港股通相关交易规费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证券投资基金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（封闭式基金、ETF、LOF基金）</w:t>
            </w:r>
          </w:p>
        </w:tc>
        <w:tc>
          <w:tcPr>
            <w:tcW w:w="4547" w:type="dxa"/>
            <w:tcBorders>
              <w:top w:val="nil"/>
              <w:left w:val="nil"/>
              <w:bottom w:val="single" w:color="auto" w:sz="8" w:space="0"/>
              <w:right w:val="single" w:color="auto" w:sz="8" w:space="0"/>
            </w:tcBorders>
            <w:shd w:val="clear" w:color="auto" w:fill="FFFFFF"/>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不超过成交金额的0.3%，起点5元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eastAsia" w:ascii="宋体" w:hAnsi="宋体" w:eastAsia="宋体" w:cs="宋体"/>
                <w:sz w:val="24"/>
                <w:szCs w:val="24"/>
              </w:rPr>
            </w:pPr>
            <w:r>
              <w:rPr>
                <w:rFonts w:hint="eastAsia" w:ascii="宋体" w:hAnsi="宋体" w:eastAsia="宋体" w:cs="宋体"/>
                <w:sz w:val="24"/>
                <w:szCs w:val="24"/>
              </w:rPr>
              <w:t>开放式基金申购、赎回</w:t>
            </w:r>
          </w:p>
        </w:tc>
        <w:tc>
          <w:tcPr>
            <w:tcW w:w="4547" w:type="dxa"/>
            <w:tcBorders>
              <w:top w:val="nil"/>
              <w:left w:val="nil"/>
              <w:bottom w:val="single" w:color="auto" w:sz="8" w:space="0"/>
              <w:right w:val="single" w:color="auto" w:sz="8" w:space="0"/>
            </w:tcBorders>
            <w:shd w:val="clear" w:color="auto" w:fill="FFFFFF"/>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具体见各家基金公司公告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ETF申购、赎回</w:t>
            </w:r>
          </w:p>
        </w:tc>
        <w:tc>
          <w:tcPr>
            <w:tcW w:w="454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eastAsia" w:ascii="宋体" w:hAnsi="宋体" w:eastAsia="宋体" w:cs="宋体"/>
                <w:sz w:val="24"/>
                <w:szCs w:val="24"/>
              </w:rPr>
            </w:pPr>
            <w:r>
              <w:rPr>
                <w:rFonts w:hint="eastAsia" w:ascii="宋体" w:hAnsi="宋体" w:eastAsia="宋体" w:cs="宋体"/>
                <w:sz w:val="24"/>
                <w:szCs w:val="24"/>
              </w:rPr>
              <w:t>不超过申购、赎回份额的0.5%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ETF期权</w:t>
            </w:r>
          </w:p>
        </w:tc>
        <w:tc>
          <w:tcPr>
            <w:tcW w:w="454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eastAsia" w:ascii="宋体" w:hAnsi="宋体" w:eastAsia="宋体" w:cs="宋体"/>
                <w:sz w:val="24"/>
                <w:szCs w:val="24"/>
              </w:rPr>
            </w:pPr>
            <w:r>
              <w:rPr>
                <w:rFonts w:hint="eastAsia" w:ascii="宋体" w:hAnsi="宋体" w:eastAsia="宋体" w:cs="宋体"/>
                <w:sz w:val="24"/>
                <w:szCs w:val="24"/>
              </w:rPr>
              <w:t>每张合约不超过10.1元/张，卖出开仓（含备兑开仓）暂不收取佣金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债券(国债、企业债、公司债、资产支持证券等)</w:t>
            </w:r>
          </w:p>
        </w:tc>
        <w:tc>
          <w:tcPr>
            <w:tcW w:w="454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eastAsia" w:ascii="宋体" w:hAnsi="宋体" w:eastAsia="宋体" w:cs="宋体"/>
                <w:sz w:val="24"/>
                <w:szCs w:val="24"/>
              </w:rPr>
            </w:pPr>
            <w:r>
              <w:rPr>
                <w:rFonts w:hint="eastAsia" w:ascii="宋体" w:hAnsi="宋体" w:eastAsia="宋体" w:cs="宋体"/>
                <w:sz w:val="24"/>
                <w:szCs w:val="24"/>
              </w:rPr>
              <w:t>沪市：不超过成交金额的0.02%，起点1元；</w:t>
            </w:r>
            <w:r>
              <w:rPr>
                <w:rFonts w:hint="eastAsia" w:ascii="宋体" w:hAnsi="宋体" w:eastAsia="宋体" w:cs="宋体"/>
                <w:sz w:val="24"/>
                <w:szCs w:val="24"/>
              </w:rPr>
              <w:br w:type="textWrapping"/>
            </w:r>
            <w:r>
              <w:rPr>
                <w:rFonts w:hint="eastAsia" w:ascii="宋体" w:hAnsi="宋体" w:eastAsia="宋体" w:cs="宋体"/>
                <w:sz w:val="24"/>
                <w:szCs w:val="24"/>
              </w:rPr>
              <w:t>深市：不超过成交金额的0.02%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可转换公司债券、分离交易可转换公司债券</w:t>
            </w:r>
          </w:p>
        </w:tc>
        <w:tc>
          <w:tcPr>
            <w:tcW w:w="454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eastAsia" w:ascii="宋体" w:hAnsi="宋体" w:eastAsia="宋体" w:cs="宋体"/>
                <w:sz w:val="24"/>
                <w:szCs w:val="24"/>
              </w:rPr>
            </w:pPr>
            <w:r>
              <w:rPr>
                <w:rFonts w:hint="eastAsia" w:ascii="宋体" w:hAnsi="宋体" w:eastAsia="宋体" w:cs="宋体"/>
                <w:sz w:val="24"/>
                <w:szCs w:val="24"/>
              </w:rPr>
              <w:t>沪市：不超过成交金额的0.02%，起点1元；</w:t>
            </w:r>
            <w:r>
              <w:rPr>
                <w:rFonts w:hint="eastAsia" w:ascii="宋体" w:hAnsi="宋体" w:eastAsia="宋体" w:cs="宋体"/>
                <w:sz w:val="24"/>
                <w:szCs w:val="24"/>
              </w:rPr>
              <w:br w:type="textWrapping"/>
            </w:r>
            <w:r>
              <w:rPr>
                <w:rFonts w:hint="eastAsia" w:ascii="宋体" w:hAnsi="宋体" w:eastAsia="宋体" w:cs="宋体"/>
                <w:sz w:val="24"/>
                <w:szCs w:val="24"/>
              </w:rPr>
              <w:t>深市：不超过成交金额的0.1%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可交债换股</w:t>
            </w:r>
          </w:p>
        </w:tc>
        <w:tc>
          <w:tcPr>
            <w:tcW w:w="454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eastAsia" w:ascii="宋体" w:hAnsi="宋体" w:eastAsia="宋体" w:cs="宋体"/>
                <w:sz w:val="24"/>
                <w:szCs w:val="24"/>
              </w:rPr>
            </w:pPr>
            <w:r>
              <w:rPr>
                <w:rFonts w:hint="eastAsia" w:ascii="宋体" w:hAnsi="宋体" w:eastAsia="宋体" w:cs="宋体"/>
                <w:sz w:val="24"/>
                <w:szCs w:val="24"/>
              </w:rPr>
              <w:t>不超过成交金额的0.3%，起点5元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497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top"/>
              <w:rPr>
                <w:rFonts w:hint="eastAsia" w:ascii="宋体" w:hAnsi="宋体" w:eastAsia="宋体" w:cs="宋体"/>
                <w:sz w:val="24"/>
                <w:szCs w:val="24"/>
              </w:rPr>
            </w:pPr>
            <w:r>
              <w:rPr>
                <w:rFonts w:hint="eastAsia" w:ascii="宋体" w:hAnsi="宋体" w:eastAsia="宋体" w:cs="宋体"/>
                <w:sz w:val="24"/>
                <w:szCs w:val="24"/>
              </w:rPr>
              <w:t>债券质押式回购</w:t>
            </w:r>
          </w:p>
        </w:tc>
        <w:tc>
          <w:tcPr>
            <w:tcW w:w="454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rFonts w:hint="eastAsia" w:ascii="宋体" w:hAnsi="宋体" w:eastAsia="宋体" w:cs="宋体"/>
                <w:sz w:val="24"/>
                <w:szCs w:val="24"/>
              </w:rPr>
            </w:pPr>
            <w:r>
              <w:rPr>
                <w:rFonts w:hint="eastAsia" w:ascii="宋体" w:hAnsi="宋体" w:eastAsia="宋体" w:cs="宋体"/>
                <w:sz w:val="24"/>
                <w:szCs w:val="24"/>
              </w:rPr>
              <w:t>1天期正、逆回购按不超过成交价额的0.001%收取</w:t>
            </w:r>
            <w:r>
              <w:rPr>
                <w:rFonts w:hint="eastAsia" w:ascii="宋体" w:hAnsi="宋体" w:eastAsia="宋体" w:cs="宋体"/>
                <w:sz w:val="24"/>
                <w:szCs w:val="24"/>
              </w:rPr>
              <w:br w:type="textWrapping"/>
            </w:r>
            <w:r>
              <w:rPr>
                <w:rFonts w:hint="eastAsia" w:ascii="宋体" w:hAnsi="宋体" w:eastAsia="宋体" w:cs="宋体"/>
                <w:sz w:val="24"/>
                <w:szCs w:val="24"/>
              </w:rPr>
              <w:t>2天期正、逆回购按不超过成交价额的0.002%收取</w:t>
            </w:r>
            <w:r>
              <w:rPr>
                <w:rFonts w:hint="eastAsia" w:ascii="宋体" w:hAnsi="宋体" w:eastAsia="宋体" w:cs="宋体"/>
                <w:sz w:val="24"/>
                <w:szCs w:val="24"/>
              </w:rPr>
              <w:br w:type="textWrapping"/>
            </w:r>
            <w:r>
              <w:rPr>
                <w:rFonts w:hint="eastAsia" w:ascii="宋体" w:hAnsi="宋体" w:eastAsia="宋体" w:cs="宋体"/>
                <w:sz w:val="24"/>
                <w:szCs w:val="24"/>
              </w:rPr>
              <w:t>3天期正、逆回购按不超过成交价额的0.003%收取</w:t>
            </w:r>
            <w:r>
              <w:rPr>
                <w:rFonts w:hint="eastAsia" w:ascii="宋体" w:hAnsi="宋体" w:eastAsia="宋体" w:cs="宋体"/>
                <w:sz w:val="24"/>
                <w:szCs w:val="24"/>
              </w:rPr>
              <w:br w:type="textWrapping"/>
            </w:r>
            <w:r>
              <w:rPr>
                <w:rFonts w:hint="eastAsia" w:ascii="宋体" w:hAnsi="宋体" w:eastAsia="宋体" w:cs="宋体"/>
                <w:sz w:val="24"/>
                <w:szCs w:val="24"/>
              </w:rPr>
              <w:t>4天期正、逆回购按不超过成交价额的0.004%收取</w:t>
            </w:r>
            <w:r>
              <w:rPr>
                <w:rFonts w:hint="eastAsia" w:ascii="宋体" w:hAnsi="宋体" w:eastAsia="宋体" w:cs="宋体"/>
                <w:sz w:val="24"/>
                <w:szCs w:val="24"/>
              </w:rPr>
              <w:br w:type="textWrapping"/>
            </w:r>
            <w:r>
              <w:rPr>
                <w:rFonts w:hint="eastAsia" w:ascii="宋体" w:hAnsi="宋体" w:eastAsia="宋体" w:cs="宋体"/>
                <w:sz w:val="24"/>
                <w:szCs w:val="24"/>
              </w:rPr>
              <w:t>7天期正、逆回购按不超过成交价额的0.005%收取</w:t>
            </w:r>
            <w:r>
              <w:rPr>
                <w:rFonts w:hint="eastAsia" w:ascii="宋体" w:hAnsi="宋体" w:eastAsia="宋体" w:cs="宋体"/>
                <w:sz w:val="24"/>
                <w:szCs w:val="24"/>
              </w:rPr>
              <w:br w:type="textWrapping"/>
            </w:r>
            <w:r>
              <w:rPr>
                <w:rFonts w:hint="eastAsia" w:ascii="宋体" w:hAnsi="宋体" w:eastAsia="宋体" w:cs="宋体"/>
                <w:sz w:val="24"/>
                <w:szCs w:val="24"/>
              </w:rPr>
              <w:t>14天期正、逆回购按不超过成交价额的0.01%收取</w:t>
            </w:r>
            <w:r>
              <w:rPr>
                <w:rFonts w:hint="eastAsia" w:ascii="宋体" w:hAnsi="宋体" w:eastAsia="宋体" w:cs="宋体"/>
                <w:sz w:val="24"/>
                <w:szCs w:val="24"/>
              </w:rPr>
              <w:br w:type="textWrapping"/>
            </w:r>
            <w:r>
              <w:rPr>
                <w:rFonts w:hint="eastAsia" w:ascii="宋体" w:hAnsi="宋体" w:eastAsia="宋体" w:cs="宋体"/>
                <w:sz w:val="24"/>
                <w:szCs w:val="24"/>
              </w:rPr>
              <w:t>28天期正、逆回购按不超过成交价额的0.02%收取</w:t>
            </w:r>
            <w:r>
              <w:rPr>
                <w:rFonts w:hint="eastAsia" w:ascii="宋体" w:hAnsi="宋体" w:eastAsia="宋体" w:cs="宋体"/>
                <w:sz w:val="24"/>
                <w:szCs w:val="24"/>
              </w:rPr>
              <w:br w:type="textWrapping"/>
            </w:r>
            <w:r>
              <w:rPr>
                <w:rFonts w:hint="eastAsia" w:ascii="宋体" w:hAnsi="宋体" w:eastAsia="宋体" w:cs="宋体"/>
                <w:sz w:val="24"/>
                <w:szCs w:val="24"/>
              </w:rPr>
              <w:t>91天期正、逆回购按不超过成交价额的0.03%收取</w:t>
            </w:r>
            <w:r>
              <w:rPr>
                <w:rFonts w:hint="eastAsia" w:ascii="宋体" w:hAnsi="宋体" w:eastAsia="宋体" w:cs="宋体"/>
                <w:sz w:val="24"/>
                <w:szCs w:val="24"/>
              </w:rPr>
              <w:br w:type="textWrapping"/>
            </w:r>
            <w:r>
              <w:rPr>
                <w:rFonts w:hint="eastAsia" w:ascii="宋体" w:hAnsi="宋体" w:eastAsia="宋体" w:cs="宋体"/>
                <w:sz w:val="24"/>
                <w:szCs w:val="24"/>
              </w:rPr>
              <w:t>182天期正、逆回购按不超过成交价额的0.03%收取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重要提示：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上述佣金收取标准包含经手费、证管费、结算费、证券结算风险基金及深圳市场过户费，不向投资者单独收取。印花税、上海市场过户费等由投资者承担，其中，印花税向出让方单独收取，上海市场过户费向买卖双方单独收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上述佣金收取标准为公司向投资者收取的佣金上限，即默认佣金。投资者实际产生的证券交易佣金按照所申请并调整设置后的佣金费率收取，未申请调整的证券品种将按照默认佣金收取，详情咨询开户营业部。咨询电话：</w:t>
      </w:r>
      <w:r>
        <w:rPr>
          <w:rFonts w:hint="eastAsia" w:ascii="宋体" w:hAnsi="宋体" w:eastAsia="宋体" w:cs="宋体"/>
          <w:sz w:val="28"/>
          <w:szCs w:val="28"/>
          <w:lang w:val="en-US" w:eastAsia="zh-CN"/>
        </w:rPr>
        <w:t>0597-2166866</w:t>
      </w:r>
      <w:r>
        <w:rPr>
          <w:rFonts w:hint="eastAsia" w:ascii="宋体" w:hAnsi="宋体" w:eastAsia="宋体" w:cs="宋体"/>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3.其他品种证券交易佣金收费标准严格遵守证监会、证券业协会、交易所及登记结算公司的相关规定，按照与投资者协商约定的佣金费率收取，不低于证券交易服务成本。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4.如交易所、登记结算公司等行业有规定的收费标准发生变更，公司将同时变更代收标准。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2" w:rightChars="0"/>
        <w:jc w:val="both"/>
        <w:rPr>
          <w:rFonts w:hint="eastAsia" w:ascii="宋体" w:hAnsi="宋体" w:eastAsia="宋体" w:cs="宋体"/>
          <w:color w:val="00000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3ABF"/>
    <w:rsid w:val="01AB25E0"/>
    <w:rsid w:val="088904E0"/>
    <w:rsid w:val="0A2B69CC"/>
    <w:rsid w:val="0EEE35FC"/>
    <w:rsid w:val="11BA19F6"/>
    <w:rsid w:val="140B3966"/>
    <w:rsid w:val="16B13ABF"/>
    <w:rsid w:val="1FEE7A0B"/>
    <w:rsid w:val="20474ADA"/>
    <w:rsid w:val="23567486"/>
    <w:rsid w:val="23F642DF"/>
    <w:rsid w:val="270A7780"/>
    <w:rsid w:val="28CE0AD2"/>
    <w:rsid w:val="2ECC1D22"/>
    <w:rsid w:val="309A09E1"/>
    <w:rsid w:val="33E66AF6"/>
    <w:rsid w:val="36FB5DD1"/>
    <w:rsid w:val="3B4014B1"/>
    <w:rsid w:val="3B50737F"/>
    <w:rsid w:val="3BC60E0F"/>
    <w:rsid w:val="3D6D3AFD"/>
    <w:rsid w:val="40852D8F"/>
    <w:rsid w:val="43245B83"/>
    <w:rsid w:val="44AE02FC"/>
    <w:rsid w:val="45820C6E"/>
    <w:rsid w:val="48AD18DC"/>
    <w:rsid w:val="4B5D2EE5"/>
    <w:rsid w:val="50BB56AF"/>
    <w:rsid w:val="53793529"/>
    <w:rsid w:val="550256AE"/>
    <w:rsid w:val="564E7C19"/>
    <w:rsid w:val="5C257D34"/>
    <w:rsid w:val="65BF6DF1"/>
    <w:rsid w:val="66DC5DEE"/>
    <w:rsid w:val="6AFD427C"/>
    <w:rsid w:val="6C0B5744"/>
    <w:rsid w:val="6DAE1740"/>
    <w:rsid w:val="706861EB"/>
    <w:rsid w:val="745E30B3"/>
    <w:rsid w:val="75615D44"/>
    <w:rsid w:val="768B488B"/>
    <w:rsid w:val="7D932A77"/>
    <w:rsid w:val="7E7C3A71"/>
    <w:rsid w:val="7F1D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qFormat/>
    <w:uiPriority w:val="0"/>
    <w:rPr>
      <w:color w:val="4D4D4D"/>
      <w:u w:val="none"/>
    </w:rPr>
  </w:style>
  <w:style w:type="character" w:styleId="8">
    <w:name w:val="Hyperlink"/>
    <w:basedOn w:val="5"/>
    <w:qFormat/>
    <w:uiPriority w:val="0"/>
    <w:rPr>
      <w:color w:val="4D4D4D"/>
      <w:u w:val="none"/>
    </w:rPr>
  </w:style>
  <w:style w:type="character" w:customStyle="1" w:styleId="9">
    <w:name w:val="hover47"/>
    <w:basedOn w:val="5"/>
    <w:qFormat/>
    <w:uiPriority w:val="0"/>
    <w:rPr>
      <w:color w:val="FFFFFF"/>
      <w:shd w:val="clear" w:fill="E84C3D"/>
    </w:rPr>
  </w:style>
  <w:style w:type="character" w:customStyle="1" w:styleId="10">
    <w:name w:val="hover48"/>
    <w:basedOn w:val="5"/>
    <w:qFormat/>
    <w:uiPriority w:val="0"/>
    <w:rPr>
      <w:color w:val="FFFFFF"/>
      <w:shd w:val="clear" w:fill="FF301C"/>
    </w:rPr>
  </w:style>
  <w:style w:type="character" w:customStyle="1" w:styleId="11">
    <w:name w:val="active"/>
    <w:basedOn w:val="5"/>
    <w:uiPriority w:val="0"/>
    <w:rPr>
      <w:color w:val="FFFFFF"/>
      <w:shd w:val="clear" w:fill="E84C3D"/>
    </w:rPr>
  </w:style>
  <w:style w:type="character" w:customStyle="1" w:styleId="12">
    <w:name w:val="cur"/>
    <w:basedOn w:val="5"/>
    <w:qFormat/>
    <w:uiPriority w:val="0"/>
  </w:style>
  <w:style w:type="character" w:customStyle="1" w:styleId="13">
    <w:name w:val="act"/>
    <w:basedOn w:val="5"/>
    <w:qFormat/>
    <w:uiPriority w:val="0"/>
    <w:rPr>
      <w:color w:val="FFFFFF"/>
      <w:shd w:val="clear" w:fill="FF301C"/>
    </w:rPr>
  </w:style>
  <w:style w:type="character" w:customStyle="1" w:styleId="14">
    <w:name w:val="act1"/>
    <w:basedOn w:val="5"/>
    <w:uiPriority w:val="0"/>
    <w:rPr>
      <w:color w:val="FF301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formulas xmlns="http://www.yonyou.com/formula"/>
</file>

<file path=customXml/item3.xml><?xml version="1.0" encoding="utf-8"?>
<relations xmlns="http://www.yonyou.com/relation"/>
</file>

<file path=customXml/itemProps1.xml><?xml version="1.0" encoding="utf-8"?>
<ds:datastoreItem xmlns:ds="http://schemas.openxmlformats.org/officeDocument/2006/customXml" ds:itemID="{a653ddf8-2b9f-4374-8889-9f7037cafef8}">
  <ds:schemaRefs/>
</ds:datastoreItem>
</file>

<file path=customXml/itemProps2.xml><?xml version="1.0" encoding="utf-8"?>
<ds:datastoreItem xmlns:ds="http://schemas.openxmlformats.org/officeDocument/2006/customXml" ds:itemID="{76c88272-2b09-4c82-bbb4-2175f60d7186}">
  <ds:schemaRefs/>
</ds:datastoreItem>
</file>

<file path=customXml/itemProps3.xml><?xml version="1.0" encoding="utf-8"?>
<ds:datastoreItem xmlns:ds="http://schemas.openxmlformats.org/officeDocument/2006/customXml" ds:itemID="{1751b2da-5fc5-49bd-90e9-2e8bcda94aa9}">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2023-04-04T03:26:00Z</dcterms:created>
  <dc:creator>User</dc:creator>
  <cp:lastModifiedBy>Admin</cp:lastModifiedBy>
  <dcterms:modified xsi:type="dcterms:W3CDTF">2023-08-28T03:00:32Z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F3D65935B6F9493FB6B8717B203B5E34</vt:lpwstr>
  </property>
</Properties>
</file>