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证券交易佣金收取标准公示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尊敬的投资者：</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根据证券监管机构关于投资者服务和佣金管理</w:t>
      </w:r>
      <w:r>
        <w:rPr>
          <w:rFonts w:hint="eastAsia" w:ascii="仿宋" w:hAnsi="仿宋" w:eastAsia="仿宋" w:cs="仿宋"/>
          <w:sz w:val="32"/>
          <w:szCs w:val="32"/>
          <w:lang w:val="en-US" w:eastAsia="zh-CN"/>
        </w:rPr>
        <w:t>的</w:t>
      </w:r>
      <w:r>
        <w:rPr>
          <w:rFonts w:hint="eastAsia" w:ascii="仿宋" w:hAnsi="仿宋" w:eastAsia="仿宋" w:cs="仿宋"/>
          <w:sz w:val="32"/>
          <w:szCs w:val="32"/>
        </w:rPr>
        <w:t>有关规定，现将</w:t>
      </w:r>
      <w:r>
        <w:rPr>
          <w:rFonts w:hint="eastAsia" w:ascii="仿宋" w:hAnsi="仿宋" w:eastAsia="仿宋" w:cs="仿宋"/>
          <w:sz w:val="32"/>
          <w:szCs w:val="32"/>
          <w:lang w:val="en-US" w:eastAsia="zh-CN"/>
        </w:rPr>
        <w:t>公司</w:t>
      </w:r>
      <w:r>
        <w:rPr>
          <w:rFonts w:hint="eastAsia" w:ascii="仿宋" w:hAnsi="仿宋" w:eastAsia="仿宋" w:cs="仿宋"/>
          <w:sz w:val="32"/>
          <w:szCs w:val="32"/>
        </w:rPr>
        <w:t>证券交易佣金收费标准及交易所证券登记结算业务收费及代收税费告知如下：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一、海通证券股份有限公司证券交易佣金收取标准</w:t>
      </w:r>
    </w:p>
    <w:tbl>
      <w:tblPr>
        <w:tblStyle w:val="4"/>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5"/>
        <w:gridCol w:w="7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业务类别</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佣金收取标准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A股、优先股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%，起点</w:t>
            </w:r>
            <w:r>
              <w:rPr>
                <w:rFonts w:hint="eastAsia" w:ascii="Times New Roman" w:hAnsi="Times New Roman"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%，起点</w:t>
            </w:r>
            <w:r>
              <w:rPr>
                <w:rFonts w:hint="eastAsia" w:ascii="Times New Roman" w:hAnsi="Times New Roman"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美元（沪市）或</w:t>
            </w:r>
            <w:r>
              <w:rPr>
                <w:rFonts w:hint="eastAsia" w:ascii="Times New Roman" w:hAnsi="Times New Roman"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港元（深市）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新三板、北交所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两网及退市股份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港股通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参照A股标准执行，不包含港股通相关交易规费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证券投资基金</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（封闭式基金、ETF、LOF基金）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%，起点</w:t>
            </w:r>
            <w:r>
              <w:rPr>
                <w:rFonts w:hint="eastAsia" w:ascii="Times New Roman" w:hAnsi="Times New Roman"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开放式基金申购、赎回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具体见各家基金公司公告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ETF申购、赎回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不超过申购、赎回份额的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ETF期权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每张合约不超过</w:t>
            </w:r>
            <w:r>
              <w:rPr>
                <w:rFonts w:hint="eastAsia" w:ascii="Times New Roman" w:hAnsi="Times New Roman" w:eastAsia="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元/张，卖出开仓（含备兑开仓）暂不收取佣金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债券(国债、企业债、公司债、资产支持证券等)</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沪市：不超过成交金额的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02</w:t>
            </w:r>
            <w:r>
              <w:rPr>
                <w:rFonts w:hint="eastAsia" w:ascii="宋体" w:hAnsi="宋体" w:eastAsia="宋体" w:cs="宋体"/>
                <w:i w:val="0"/>
                <w:iCs w:val="0"/>
                <w:color w:val="000000"/>
                <w:kern w:val="0"/>
                <w:sz w:val="24"/>
                <w:szCs w:val="24"/>
                <w:u w:val="none"/>
                <w:lang w:val="en-US" w:eastAsia="zh-CN" w:bidi="ar"/>
              </w:rPr>
              <w:t>%，起点</w:t>
            </w:r>
            <w:r>
              <w:rPr>
                <w:rFonts w:hint="eastAsia" w:ascii="Times New Roman" w:hAnsi="Times New Roman"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深市：不超过成交金额的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02</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可转换公司债券、分离交易可转换公司债券</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沪市：不超过成交金额的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02</w:t>
            </w:r>
            <w:r>
              <w:rPr>
                <w:rFonts w:hint="eastAsia" w:ascii="宋体" w:hAnsi="宋体" w:eastAsia="宋体" w:cs="宋体"/>
                <w:i w:val="0"/>
                <w:iCs w:val="0"/>
                <w:color w:val="000000"/>
                <w:kern w:val="0"/>
                <w:sz w:val="24"/>
                <w:szCs w:val="24"/>
                <w:u w:val="none"/>
                <w:lang w:val="en-US" w:eastAsia="zh-CN" w:bidi="ar"/>
              </w:rPr>
              <w:t>%，起点</w:t>
            </w:r>
            <w:r>
              <w:rPr>
                <w:rFonts w:hint="eastAsia" w:ascii="Times New Roman" w:hAnsi="Times New Roman"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深市：不超过成交金额的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可交债换股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不超过成交金额的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%，起点</w:t>
            </w:r>
            <w:r>
              <w:rPr>
                <w:rFonts w:hint="eastAsia" w:ascii="Times New Roman" w:hAnsi="Times New Roman"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债券质押式回购</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63" w:beforeLines="20" w:line="288" w:lineRule="auto"/>
              <w:jc w:val="left"/>
              <w:textAlignment w:val="center"/>
              <w:rPr>
                <w:rFonts w:hint="eastAsia" w:ascii="宋体" w:hAnsi="宋体"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001</w:t>
            </w:r>
            <w:r>
              <w:rPr>
                <w:rFonts w:hint="eastAsia" w:ascii="宋体" w:hAnsi="宋体" w:eastAsia="宋体" w:cs="宋体"/>
                <w:i w:val="0"/>
                <w:iCs w:val="0"/>
                <w:color w:val="000000"/>
                <w:kern w:val="0"/>
                <w:sz w:val="24"/>
                <w:szCs w:val="24"/>
                <w:u w:val="none"/>
                <w:lang w:val="en-US" w:eastAsia="zh-CN" w:bidi="ar"/>
              </w:rPr>
              <w:t>%收取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002</w:t>
            </w:r>
            <w:r>
              <w:rPr>
                <w:rFonts w:hint="eastAsia" w:ascii="宋体" w:hAnsi="宋体" w:eastAsia="宋体" w:cs="宋体"/>
                <w:i w:val="0"/>
                <w:iCs w:val="0"/>
                <w:color w:val="000000"/>
                <w:kern w:val="0"/>
                <w:sz w:val="24"/>
                <w:szCs w:val="24"/>
                <w:u w:val="none"/>
                <w:lang w:val="en-US" w:eastAsia="zh-CN" w:bidi="ar"/>
              </w:rPr>
              <w:t>%收取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003</w:t>
            </w:r>
            <w:r>
              <w:rPr>
                <w:rFonts w:hint="eastAsia" w:ascii="宋体" w:hAnsi="宋体" w:eastAsia="宋体" w:cs="宋体"/>
                <w:i w:val="0"/>
                <w:iCs w:val="0"/>
                <w:color w:val="000000"/>
                <w:kern w:val="0"/>
                <w:sz w:val="24"/>
                <w:szCs w:val="24"/>
                <w:u w:val="none"/>
                <w:lang w:val="en-US" w:eastAsia="zh-CN" w:bidi="ar"/>
              </w:rPr>
              <w:t>%收取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004</w:t>
            </w:r>
            <w:r>
              <w:rPr>
                <w:rFonts w:hint="eastAsia" w:ascii="宋体" w:hAnsi="宋体" w:eastAsia="宋体" w:cs="宋体"/>
                <w:i w:val="0"/>
                <w:iCs w:val="0"/>
                <w:color w:val="000000"/>
                <w:kern w:val="0"/>
                <w:sz w:val="24"/>
                <w:szCs w:val="24"/>
                <w:u w:val="none"/>
                <w:lang w:val="en-US" w:eastAsia="zh-CN" w:bidi="ar"/>
              </w:rPr>
              <w:t>%收取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005</w:t>
            </w:r>
            <w:r>
              <w:rPr>
                <w:rFonts w:hint="eastAsia" w:ascii="宋体" w:hAnsi="宋体" w:eastAsia="宋体" w:cs="宋体"/>
                <w:i w:val="0"/>
                <w:iCs w:val="0"/>
                <w:color w:val="000000"/>
                <w:kern w:val="0"/>
                <w:sz w:val="24"/>
                <w:szCs w:val="24"/>
                <w:u w:val="none"/>
                <w:lang w:val="en-US" w:eastAsia="zh-CN" w:bidi="ar"/>
              </w:rPr>
              <w:t>%收取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01</w:t>
            </w:r>
            <w:r>
              <w:rPr>
                <w:rFonts w:hint="eastAsia" w:ascii="宋体" w:hAnsi="宋体" w:eastAsia="宋体" w:cs="宋体"/>
                <w:i w:val="0"/>
                <w:iCs w:val="0"/>
                <w:color w:val="000000"/>
                <w:kern w:val="0"/>
                <w:sz w:val="24"/>
                <w:szCs w:val="24"/>
                <w:u w:val="none"/>
                <w:lang w:val="en-US" w:eastAsia="zh-CN" w:bidi="ar"/>
              </w:rPr>
              <w:t>%收取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28</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02</w:t>
            </w:r>
            <w:r>
              <w:rPr>
                <w:rFonts w:hint="eastAsia" w:ascii="宋体" w:hAnsi="宋体" w:eastAsia="宋体" w:cs="宋体"/>
                <w:i w:val="0"/>
                <w:iCs w:val="0"/>
                <w:color w:val="000000"/>
                <w:kern w:val="0"/>
                <w:sz w:val="24"/>
                <w:szCs w:val="24"/>
                <w:u w:val="none"/>
                <w:lang w:val="en-US" w:eastAsia="zh-CN" w:bidi="ar"/>
              </w:rPr>
              <w:t>%收取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91</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%收取</w:t>
            </w:r>
            <w:r>
              <w:rPr>
                <w:rFonts w:hint="eastAsia" w:ascii="宋体" w:hAnsi="宋体" w:eastAsia="宋体" w:cs="宋体"/>
                <w:i w:val="0"/>
                <w:iCs w:val="0"/>
                <w:color w:val="000000"/>
                <w:kern w:val="0"/>
                <w:sz w:val="24"/>
                <w:szCs w:val="24"/>
                <w:u w:val="none"/>
                <w:lang w:val="en-US" w:eastAsia="zh-CN" w:bidi="ar"/>
              </w:rPr>
              <w:br w:type="textWrapping"/>
            </w:r>
            <w:r>
              <w:rPr>
                <w:rFonts w:hint="eastAsia" w:ascii="Times New Roman" w:hAnsi="Times New Roman" w:eastAsia="宋体" w:cs="宋体"/>
                <w:i w:val="0"/>
                <w:iCs w:val="0"/>
                <w:color w:val="000000"/>
                <w:kern w:val="0"/>
                <w:sz w:val="24"/>
                <w:szCs w:val="24"/>
                <w:u w:val="none"/>
                <w:lang w:val="en-US" w:eastAsia="zh-CN" w:bidi="ar"/>
              </w:rPr>
              <w:t>182</w:t>
            </w:r>
            <w:r>
              <w:rPr>
                <w:rFonts w:hint="eastAsia" w:ascii="宋体" w:hAnsi="宋体" w:eastAsia="宋体" w:cs="宋体"/>
                <w:i w:val="0"/>
                <w:iCs w:val="0"/>
                <w:color w:val="000000"/>
                <w:kern w:val="0"/>
                <w:sz w:val="24"/>
                <w:szCs w:val="24"/>
                <w:u w:val="none"/>
                <w:lang w:val="en-US" w:eastAsia="zh-CN" w:bidi="ar"/>
              </w:rPr>
              <w:t>天期正、逆回购按不超过成交价额的</w:t>
            </w:r>
            <w:r>
              <w:rPr>
                <w:rFonts w:hint="eastAsia" w:ascii="Times New Roman" w:hAnsi="Times New Roman" w:eastAsia="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eastAsia" w:ascii="Times New Roman" w:hAnsi="Times New Roman" w:eastAsia="宋体"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%收取</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重要提示：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 w:cs="仿宋"/>
          <w:sz w:val="32"/>
          <w:szCs w:val="32"/>
          <w:lang w:val="en-US" w:eastAsia="zh-CN"/>
        </w:rPr>
        <w:t>1</w:t>
      </w:r>
      <w:r>
        <w:rPr>
          <w:rFonts w:hint="eastAsia" w:ascii="仿宋" w:hAnsi="仿宋" w:eastAsia="仿宋" w:cs="仿宋"/>
          <w:sz w:val="32"/>
          <w:szCs w:val="32"/>
          <w:lang w:val="en-US" w:eastAsia="zh-CN"/>
        </w:rPr>
        <w:t>.上述佣金收取标准包含经手费、证管费、结算费、证券结算风险基金及深圳市场过户费，不向投资者单独收取。印花税、上海市场过户费等由投资者承担，其中，印花税向出让方单独收取，上海市场过户费向买卖双方单独收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 w:cs="仿宋"/>
          <w:sz w:val="32"/>
          <w:szCs w:val="32"/>
          <w:lang w:val="en-US" w:eastAsia="zh-CN"/>
        </w:rPr>
        <w:t>2</w:t>
      </w:r>
      <w:r>
        <w:rPr>
          <w:rFonts w:hint="eastAsia" w:ascii="仿宋" w:hAnsi="仿宋" w:eastAsia="仿宋" w:cs="仿宋"/>
          <w:sz w:val="32"/>
          <w:szCs w:val="32"/>
          <w:lang w:val="en-US" w:eastAsia="zh-CN"/>
        </w:rPr>
        <w:t>.上述佣金收取标准为公司向投资者</w:t>
      </w:r>
      <w:bookmarkStart w:id="0" w:name="_GoBack"/>
      <w:bookmarkEnd w:id="0"/>
      <w:r>
        <w:rPr>
          <w:rFonts w:hint="eastAsia" w:ascii="仿宋" w:hAnsi="仿宋" w:eastAsia="仿宋" w:cs="仿宋"/>
          <w:sz w:val="32"/>
          <w:szCs w:val="32"/>
          <w:lang w:val="en-US" w:eastAsia="zh-CN"/>
        </w:rPr>
        <w:t>收取的佣金上限，即默认佣金。投资者实际产生的证券交易佣金按照所申请并调整设置后的佣金费率收取，未申请调整的证券品种将按照默认佣金收取，详情咨询开户营业部。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.其他品种证券交易佣金收费标准严格遵守证监会、证券业协会、交易所及登记结算公司的相关规定，按照与投资者协商约定的佣金费率收取，不低于证券交易服务成本。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 w:cs="仿宋"/>
          <w:sz w:val="32"/>
          <w:szCs w:val="32"/>
          <w:lang w:val="en-US" w:eastAsia="zh-CN"/>
        </w:rPr>
        <w:t>4</w:t>
      </w:r>
      <w:r>
        <w:rPr>
          <w:rFonts w:hint="eastAsia" w:ascii="仿宋" w:hAnsi="仿宋" w:eastAsia="仿宋" w:cs="仿宋"/>
          <w:sz w:val="32"/>
          <w:szCs w:val="32"/>
          <w:lang w:val="en-US" w:eastAsia="zh-CN"/>
        </w:rPr>
        <w:t>.如交易所、登记结算公司等行业有规定的收费标准发生变更，公司将同时变更代收标准。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、证券登记结算业务收费及代收税费一览表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Times New Roman" w:hAnsi="Times New Roman" w:eastAsia="仿宋" w:cs="仿宋"/>
          <w:sz w:val="32"/>
          <w:szCs w:val="32"/>
        </w:rPr>
        <w:t>1</w:t>
      </w:r>
      <w:r>
        <w:rPr>
          <w:rFonts w:hint="eastAsia" w:ascii="仿宋" w:hAnsi="仿宋" w:eastAsia="仿宋" w:cs="仿宋"/>
          <w:sz w:val="32"/>
          <w:szCs w:val="32"/>
        </w:rPr>
        <w:t>.上海市场证券登记结算业务收费及代收税费一览表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Times New Roman" w:hAnsi="Times New Roman" w:eastAsia="仿宋" w:cs="仿宋"/>
          <w:sz w:val="32"/>
          <w:szCs w:val="32"/>
        </w:rPr>
        <w:t>2</w:t>
      </w:r>
      <w:r>
        <w:rPr>
          <w:rFonts w:hint="eastAsia" w:ascii="仿宋" w:hAnsi="仿宋" w:eastAsia="仿宋" w:cs="仿宋"/>
          <w:sz w:val="32"/>
          <w:szCs w:val="32"/>
        </w:rPr>
        <w:t>.深圳市场证券登记结算业务收费及代收税费一览表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Times New Roman" w:hAnsi="Times New Roman" w:eastAsia="仿宋" w:cs="仿宋"/>
          <w:sz w:val="32"/>
          <w:szCs w:val="32"/>
        </w:rPr>
        <w:t>3</w:t>
      </w:r>
      <w:r>
        <w:rPr>
          <w:rFonts w:hint="eastAsia" w:ascii="仿宋" w:hAnsi="仿宋" w:eastAsia="仿宋" w:cs="仿宋"/>
          <w:sz w:val="32"/>
          <w:szCs w:val="32"/>
        </w:rPr>
        <w:t>.北京市场证券登记结算业务收费及代收税费一览表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0EB9"/>
    <w:rsid w:val="38AE0EB9"/>
    <w:rsid w:val="3BC759AD"/>
    <w:rsid w:val="3D32726D"/>
    <w:rsid w:val="4F352B86"/>
    <w:rsid w:val="6037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2023-03-13T05:12:00Z</dcterms:created>
  <dc:creator>Administrator</dc:creator>
  <cp:lastModifiedBy>Administrator</cp:lastModifiedBy>
  <dcterms:modified xsi:type="dcterms:W3CDTF">2023-03-13T09:45:28Z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D09E4945601A48868DB4DD6BB758C80E</vt:lpwstr>
  </property>
</Properties>
</file>