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rPr>
          <w:rFonts w:hint="eastAsia"/>
          <w:lang w:val="en-US" w:eastAsia="zh-CN"/>
        </w:rPr>
        <w:t>常州健身路营业部</w:t>
      </w:r>
      <w:bookmarkStart w:id="0" w:name="_GoBack"/>
      <w:bookmarkEnd w:id="0"/>
      <w:r>
        <w:t>证券交易佣金收取标准公示</w:t>
      </w:r>
    </w:p>
    <w:p>
      <w:pPr>
        <w:rPr>
          <w:rFonts w:hint="eastAsia"/>
        </w:rPr>
      </w:pPr>
      <w:r>
        <w:t> </w:t>
      </w:r>
    </w:p>
    <w:p>
      <w:pPr>
        <w:rPr>
          <w:rFonts w:hint="eastAsia"/>
        </w:rPr>
      </w:pPr>
      <w:r>
        <w:rPr>
          <w:rFonts w:hint="default"/>
        </w:rPr>
        <w:t>尊敬的投资者：</w:t>
      </w:r>
    </w:p>
    <w:p>
      <w:pPr>
        <w:ind w:firstLine="420" w:firstLineChars="200"/>
        <w:rPr>
          <w:rFonts w:hint="eastAsia"/>
        </w:rPr>
      </w:pPr>
      <w:r>
        <w:rPr>
          <w:rFonts w:hint="default"/>
        </w:rPr>
        <w:t>根据证券监管机构关于投资者服务和佣金管理的有关规定，现将公司证券交易佣金收费标准及交易所证券登记结算业务收费及代收税费告知如下。</w:t>
      </w:r>
    </w:p>
    <w:p>
      <w:pPr>
        <w:ind w:firstLine="420" w:firstLineChars="200"/>
        <w:rPr>
          <w:rFonts w:hint="eastAsia"/>
        </w:rPr>
      </w:pPr>
      <w:r>
        <w:rPr>
          <w:rFonts w:hint="default"/>
        </w:rPr>
        <w:t>一、近期税费政策</w:t>
      </w:r>
    </w:p>
    <w:p>
      <w:pPr>
        <w:rPr>
          <w:rFonts w:hint="eastAsia"/>
        </w:rPr>
      </w:pPr>
      <w:r>
        <w:rPr>
          <w:rFonts w:hint="default"/>
        </w:rPr>
        <w:t>1.经手费及佣金下调：自2023年8月28日起，沪、深、北交易所下调股票交易经手费，公司对存量投资者同步下调交易佣金。其中，沪深交易所A股、B股、存托凭证品种的交易佣金，将在投资者原有佣金基础上统一下调0.00146%；沪深A股、沪市B股大宗交易佣金将在投资者原有佣金基础上统一下调0.001022%，深市B股大宗交易将在投资者原有佣金基础上统一下调0.00073%；北交所普通股、优先股交易佣金将在投资者原有佣金基础上统一下调0.0125%。</w:t>
      </w:r>
    </w:p>
    <w:p>
      <w:pPr>
        <w:rPr>
          <w:rFonts w:hint="eastAsia"/>
        </w:rPr>
      </w:pPr>
      <w:r>
        <w:rPr>
          <w:rFonts w:hint="eastAsia"/>
        </w:rPr>
        <w:t>2.印花税下调：根据财政部、税务总局公告，自2023年8月28日起，证券交易印花税实施减半征收。我公司将同步按上述标准执行。</w:t>
      </w:r>
    </w:p>
    <w:p>
      <w:pPr>
        <w:rPr>
          <w:rFonts w:hint="eastAsia"/>
        </w:rPr>
      </w:pPr>
    </w:p>
    <w:p>
      <w:pPr>
        <w:ind w:firstLine="420" w:firstLineChars="200"/>
        <w:rPr>
          <w:rFonts w:hint="eastAsia"/>
        </w:rPr>
      </w:pPr>
      <w:r>
        <w:rPr>
          <w:rFonts w:hint="default"/>
        </w:rPr>
        <w:t>二、海通证券股份有限公司证券交易佣金收取标准</w:t>
      </w:r>
    </w:p>
    <w:p>
      <w:pPr>
        <w:rPr>
          <w:rFonts w:hint="eastAsia"/>
        </w:rPr>
      </w:pPr>
    </w:p>
    <w:tbl>
      <w:tblPr>
        <w:tblW w:w="42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Layout w:type="autofit"/>
        <w:tblCellMar>
          <w:top w:w="0" w:type="dxa"/>
          <w:left w:w="0" w:type="dxa"/>
          <w:bottom w:w="0" w:type="dxa"/>
          <w:right w:w="0" w:type="dxa"/>
        </w:tblCellMar>
      </w:tblPr>
      <w:tblGrid>
        <w:gridCol w:w="2883"/>
        <w:gridCol w:w="4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005BAC"/>
            <w:vAlign w:val="center"/>
          </w:tcPr>
          <w:p>
            <w:pPr>
              <w:rPr>
                <w:rFonts w:hint="eastAsia"/>
              </w:rPr>
            </w:pPr>
            <w:r>
              <w:rPr>
                <w:rFonts w:hint="eastAsia"/>
              </w:rPr>
              <w:t>业务类别</w:t>
            </w:r>
          </w:p>
        </w:tc>
        <w:tc>
          <w:tcPr>
            <w:tcW w:w="0" w:type="auto"/>
            <w:tcBorders>
              <w:top w:val="single" w:color="DDD9C3" w:sz="6" w:space="0"/>
              <w:left w:val="single" w:color="DDD9C3" w:sz="6" w:space="0"/>
              <w:bottom w:val="single" w:color="DDD9C3" w:sz="6" w:space="0"/>
              <w:right w:val="single" w:color="DDD9C3" w:sz="6" w:space="0"/>
            </w:tcBorders>
            <w:shd w:val="clear" w:color="auto" w:fill="005BAC"/>
            <w:vAlign w:val="center"/>
          </w:tcPr>
          <w:p>
            <w:pPr>
              <w:rPr>
                <w:rFonts w:hint="eastAsia"/>
              </w:rPr>
            </w:pPr>
            <w:r>
              <w:rPr>
                <w:rFonts w:hint="eastAsia"/>
              </w:rPr>
              <w:t>佣金收取标准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7F7F7"/>
            <w:vAlign w:val="center"/>
          </w:tcPr>
          <w:p>
            <w:pPr>
              <w:rPr>
                <w:rFonts w:hint="eastAsia"/>
              </w:rPr>
            </w:pPr>
            <w:r>
              <w:rPr>
                <w:rFonts w:hint="eastAsia"/>
              </w:rPr>
              <w:t>A股、优先股</w:t>
            </w:r>
          </w:p>
        </w:tc>
        <w:tc>
          <w:tcPr>
            <w:tcW w:w="0" w:type="auto"/>
            <w:tcBorders>
              <w:top w:val="single" w:color="DDD9C3" w:sz="6" w:space="0"/>
              <w:left w:val="single" w:color="DDD9C3" w:sz="6" w:space="0"/>
              <w:bottom w:val="single" w:color="DDD9C3" w:sz="6" w:space="0"/>
              <w:right w:val="single" w:color="DDD9C3" w:sz="6" w:space="0"/>
            </w:tcBorders>
            <w:shd w:val="clear" w:color="auto" w:fill="F7F7F7"/>
            <w:vAlign w:val="center"/>
          </w:tcPr>
          <w:p>
            <w:pPr>
              <w:rPr>
                <w:rFonts w:hint="eastAsia"/>
              </w:rPr>
            </w:pPr>
            <w:r>
              <w:rPr>
                <w:rFonts w:hint="default"/>
              </w:rPr>
              <w:t>不超过成交金额的0.3%，起点5元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2F2F2"/>
            <w:vAlign w:val="center"/>
          </w:tcPr>
          <w:p>
            <w:pPr>
              <w:rPr>
                <w:rFonts w:hint="eastAsia"/>
              </w:rPr>
            </w:pPr>
            <w:r>
              <w:rPr>
                <w:rFonts w:hint="eastAsia"/>
              </w:rPr>
              <w:t>B股</w:t>
            </w:r>
          </w:p>
        </w:tc>
        <w:tc>
          <w:tcPr>
            <w:tcW w:w="0" w:type="auto"/>
            <w:tcBorders>
              <w:top w:val="single" w:color="DDD9C3" w:sz="6" w:space="0"/>
              <w:left w:val="single" w:color="DDD9C3" w:sz="6" w:space="0"/>
              <w:bottom w:val="single" w:color="DDD9C3" w:sz="6" w:space="0"/>
              <w:right w:val="single" w:color="DDD9C3" w:sz="6" w:space="0"/>
            </w:tcBorders>
            <w:shd w:val="clear" w:color="auto" w:fill="F2F2F2"/>
            <w:vAlign w:val="center"/>
          </w:tcPr>
          <w:p>
            <w:pPr>
              <w:rPr>
                <w:rFonts w:hint="eastAsia"/>
              </w:rPr>
            </w:pPr>
            <w:r>
              <w:rPr>
                <w:rFonts w:hint="default"/>
              </w:rPr>
              <w:t>不超过成交金额的0.3%，起点1美元（沪市）或5港元（深市）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7F7F7"/>
            <w:vAlign w:val="center"/>
          </w:tcPr>
          <w:p>
            <w:pPr>
              <w:rPr>
                <w:rFonts w:hint="eastAsia"/>
              </w:rPr>
            </w:pPr>
            <w:r>
              <w:rPr>
                <w:rFonts w:hint="eastAsia"/>
                <w:lang w:val="en-US" w:eastAsia="zh-CN"/>
              </w:rPr>
              <w:t>新三板、北交所</w:t>
            </w:r>
          </w:p>
        </w:tc>
        <w:tc>
          <w:tcPr>
            <w:tcW w:w="0" w:type="auto"/>
            <w:tcBorders>
              <w:top w:val="single" w:color="DDD9C3" w:sz="6" w:space="0"/>
              <w:left w:val="single" w:color="DDD9C3" w:sz="6" w:space="0"/>
              <w:bottom w:val="single" w:color="DDD9C3" w:sz="6" w:space="0"/>
              <w:right w:val="single" w:color="DDD9C3" w:sz="6" w:space="0"/>
            </w:tcBorders>
            <w:shd w:val="clear" w:color="auto" w:fill="F7F7F7"/>
            <w:vAlign w:val="top"/>
          </w:tcPr>
          <w:p>
            <w:pPr>
              <w:rPr>
                <w:rFonts w:hint="eastAsia"/>
              </w:rPr>
            </w:pPr>
            <w:r>
              <w:rPr>
                <w:rFonts w:hint="default"/>
              </w:rPr>
              <w:t>不超过成交金额的0.15%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2F2F2"/>
            <w:vAlign w:val="center"/>
          </w:tcPr>
          <w:p>
            <w:pPr>
              <w:rPr>
                <w:rFonts w:hint="eastAsia"/>
              </w:rPr>
            </w:pPr>
            <w:r>
              <w:rPr>
                <w:rFonts w:hint="eastAsia"/>
              </w:rPr>
              <w:t>两网及退市股份</w:t>
            </w:r>
          </w:p>
        </w:tc>
        <w:tc>
          <w:tcPr>
            <w:tcW w:w="0" w:type="auto"/>
            <w:tcBorders>
              <w:top w:val="single" w:color="DDD9C3" w:sz="6" w:space="0"/>
              <w:left w:val="single" w:color="DDD9C3" w:sz="6" w:space="0"/>
              <w:bottom w:val="single" w:color="DDD9C3" w:sz="6" w:space="0"/>
              <w:right w:val="single" w:color="DDD9C3" w:sz="6" w:space="0"/>
            </w:tcBorders>
            <w:shd w:val="clear" w:color="auto" w:fill="F2F2F2"/>
            <w:vAlign w:val="top"/>
          </w:tcPr>
          <w:p>
            <w:pPr>
              <w:rPr>
                <w:rFonts w:hint="eastAsia"/>
              </w:rPr>
            </w:pPr>
            <w:r>
              <w:rPr>
                <w:rFonts w:hint="default"/>
              </w:rPr>
              <w:t>不超过成交金额的0.3%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7F7F7"/>
            <w:vAlign w:val="center"/>
          </w:tcPr>
          <w:p>
            <w:pPr>
              <w:rPr>
                <w:rFonts w:hint="eastAsia"/>
              </w:rPr>
            </w:pPr>
            <w:r>
              <w:rPr>
                <w:rFonts w:hint="eastAsia"/>
              </w:rPr>
              <w:t>港股通</w:t>
            </w:r>
          </w:p>
        </w:tc>
        <w:tc>
          <w:tcPr>
            <w:tcW w:w="0" w:type="auto"/>
            <w:tcBorders>
              <w:top w:val="single" w:color="DDD9C3" w:sz="6" w:space="0"/>
              <w:left w:val="single" w:color="DDD9C3" w:sz="6" w:space="0"/>
              <w:bottom w:val="single" w:color="DDD9C3" w:sz="6" w:space="0"/>
              <w:right w:val="single" w:color="DDD9C3" w:sz="6" w:space="0"/>
            </w:tcBorders>
            <w:shd w:val="clear" w:color="auto" w:fill="F7F7F7"/>
            <w:vAlign w:val="center"/>
          </w:tcPr>
          <w:p>
            <w:pPr>
              <w:rPr>
                <w:rFonts w:hint="eastAsia"/>
              </w:rPr>
            </w:pPr>
            <w:r>
              <w:rPr>
                <w:rFonts w:hint="default"/>
              </w:rPr>
              <w:t>参照A股标准执行，不包含港股通相关交易规费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2F2F2"/>
            <w:vAlign w:val="center"/>
          </w:tcPr>
          <w:p>
            <w:pPr>
              <w:rPr>
                <w:rFonts w:hint="eastAsia"/>
              </w:rPr>
            </w:pPr>
            <w:r>
              <w:rPr>
                <w:rFonts w:hint="eastAsia"/>
              </w:rPr>
              <w:t>证券投资基金</w:t>
            </w:r>
          </w:p>
          <w:p>
            <w:pPr>
              <w:rPr>
                <w:rFonts w:hint="eastAsia"/>
              </w:rPr>
            </w:pPr>
            <w:r>
              <w:rPr>
                <w:rFonts w:hint="eastAsia"/>
              </w:rPr>
              <w:t>（封闭式基金、ETF、LOF基金）</w:t>
            </w:r>
          </w:p>
        </w:tc>
        <w:tc>
          <w:tcPr>
            <w:tcW w:w="0" w:type="auto"/>
            <w:tcBorders>
              <w:top w:val="single" w:color="DDD9C3" w:sz="6" w:space="0"/>
              <w:left w:val="single" w:color="DDD9C3" w:sz="6" w:space="0"/>
              <w:bottom w:val="single" w:color="DDD9C3" w:sz="6" w:space="0"/>
              <w:right w:val="single" w:color="DDD9C3" w:sz="6" w:space="0"/>
            </w:tcBorders>
            <w:shd w:val="clear" w:color="auto" w:fill="F2F2F2"/>
            <w:vAlign w:val="top"/>
          </w:tcPr>
          <w:p>
            <w:pPr>
              <w:rPr>
                <w:rFonts w:hint="eastAsia"/>
              </w:rPr>
            </w:pPr>
            <w:r>
              <w:rPr>
                <w:rFonts w:hint="default"/>
              </w:rPr>
              <w:t>不超过成交金额的0.3%，起点5元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7F7F7"/>
            <w:vAlign w:val="center"/>
          </w:tcPr>
          <w:p>
            <w:pPr>
              <w:rPr>
                <w:rFonts w:hint="eastAsia"/>
              </w:rPr>
            </w:pPr>
            <w:r>
              <w:rPr>
                <w:rFonts w:hint="eastAsia"/>
              </w:rPr>
              <w:t>开放式基金申购、赎回</w:t>
            </w:r>
          </w:p>
        </w:tc>
        <w:tc>
          <w:tcPr>
            <w:tcW w:w="0" w:type="auto"/>
            <w:tcBorders>
              <w:top w:val="single" w:color="DDD9C3" w:sz="6" w:space="0"/>
              <w:left w:val="single" w:color="DDD9C3" w:sz="6" w:space="0"/>
              <w:bottom w:val="single" w:color="DDD9C3" w:sz="6" w:space="0"/>
              <w:right w:val="single" w:color="DDD9C3" w:sz="6" w:space="0"/>
            </w:tcBorders>
            <w:shd w:val="clear" w:color="auto" w:fill="F2F2F2"/>
            <w:vAlign w:val="top"/>
          </w:tcPr>
          <w:p>
            <w:pPr>
              <w:rPr>
                <w:rFonts w:hint="eastAsia"/>
              </w:rPr>
            </w:pPr>
            <w:r>
              <w:rPr>
                <w:rFonts w:hint="default"/>
              </w:rPr>
              <w:t>具体见各家基金公司公告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2F2F2"/>
            <w:vAlign w:val="center"/>
          </w:tcPr>
          <w:p>
            <w:pPr>
              <w:rPr>
                <w:rFonts w:hint="eastAsia"/>
              </w:rPr>
            </w:pPr>
            <w:r>
              <w:rPr>
                <w:rFonts w:hint="eastAsia"/>
              </w:rPr>
              <w:t>ETF申购、赎回</w:t>
            </w:r>
          </w:p>
        </w:tc>
        <w:tc>
          <w:tcPr>
            <w:tcW w:w="0" w:type="auto"/>
            <w:tcBorders>
              <w:top w:val="single" w:color="DDD9C3" w:sz="6" w:space="0"/>
              <w:left w:val="single" w:color="DDD9C3" w:sz="6" w:space="0"/>
              <w:bottom w:val="single" w:color="DDD9C3" w:sz="6" w:space="0"/>
              <w:right w:val="single" w:color="DDD9C3" w:sz="6" w:space="0"/>
            </w:tcBorders>
            <w:shd w:val="clear" w:color="auto" w:fill="F2F2F2"/>
            <w:vAlign w:val="top"/>
          </w:tcPr>
          <w:p>
            <w:pPr>
              <w:rPr>
                <w:rFonts w:hint="eastAsia"/>
              </w:rPr>
            </w:pPr>
            <w:r>
              <w:rPr>
                <w:rFonts w:hint="default"/>
              </w:rPr>
              <w:t>不超过申购、赎回份额的0.5%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7F7F7"/>
            <w:vAlign w:val="center"/>
          </w:tcPr>
          <w:p>
            <w:pPr>
              <w:rPr>
                <w:rFonts w:hint="eastAsia"/>
              </w:rPr>
            </w:pPr>
            <w:r>
              <w:rPr>
                <w:rFonts w:hint="eastAsia"/>
              </w:rPr>
              <w:t>ETF期权</w:t>
            </w:r>
          </w:p>
        </w:tc>
        <w:tc>
          <w:tcPr>
            <w:tcW w:w="0" w:type="auto"/>
            <w:tcBorders>
              <w:top w:val="single" w:color="DDD9C3" w:sz="6" w:space="0"/>
              <w:left w:val="single" w:color="DDD9C3" w:sz="6" w:space="0"/>
              <w:bottom w:val="single" w:color="DDD9C3" w:sz="6" w:space="0"/>
              <w:right w:val="single" w:color="DDD9C3" w:sz="6" w:space="0"/>
            </w:tcBorders>
            <w:shd w:val="clear" w:color="auto" w:fill="F7F7F7"/>
            <w:vAlign w:val="top"/>
          </w:tcPr>
          <w:p>
            <w:pPr>
              <w:rPr>
                <w:rFonts w:hint="eastAsia"/>
              </w:rPr>
            </w:pPr>
            <w:r>
              <w:rPr>
                <w:rFonts w:hint="default"/>
              </w:rPr>
              <w:t>每张合约不超过10.1元/张，卖出开仓（含备兑开仓）暂不收取佣金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2F2F2"/>
            <w:vAlign w:val="center"/>
          </w:tcPr>
          <w:p>
            <w:pPr>
              <w:rPr>
                <w:rFonts w:hint="eastAsia"/>
              </w:rPr>
            </w:pPr>
            <w:r>
              <w:rPr>
                <w:rFonts w:hint="default"/>
              </w:rPr>
              <w:t>债券(国债、企业债、公司债、资产支持证券等)</w:t>
            </w:r>
          </w:p>
        </w:tc>
        <w:tc>
          <w:tcPr>
            <w:tcW w:w="0" w:type="auto"/>
            <w:tcBorders>
              <w:top w:val="single" w:color="DDD9C3" w:sz="6" w:space="0"/>
              <w:left w:val="single" w:color="DDD9C3" w:sz="6" w:space="0"/>
              <w:bottom w:val="single" w:color="DDD9C3" w:sz="6" w:space="0"/>
              <w:right w:val="single" w:color="DDD9C3" w:sz="6" w:space="0"/>
            </w:tcBorders>
            <w:shd w:val="clear" w:color="auto" w:fill="F2F2F2"/>
            <w:vAlign w:val="top"/>
          </w:tcPr>
          <w:p>
            <w:pPr>
              <w:rPr>
                <w:rFonts w:hint="eastAsia"/>
              </w:rPr>
            </w:pPr>
            <w:r>
              <w:rPr>
                <w:rFonts w:hint="default"/>
              </w:rPr>
              <w:t>沪市：不超过成交金额的0.02%，起点1元；</w:t>
            </w:r>
            <w:r>
              <w:rPr>
                <w:rFonts w:hint="default"/>
              </w:rPr>
              <w:br w:type="textWrapping"/>
            </w:r>
            <w:r>
              <w:rPr>
                <w:rFonts w:hint="default"/>
              </w:rPr>
              <w:t>深市：不超过成交金额的0.02%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7F7F7"/>
            <w:vAlign w:val="center"/>
          </w:tcPr>
          <w:p>
            <w:pPr>
              <w:rPr>
                <w:rFonts w:hint="eastAsia"/>
              </w:rPr>
            </w:pPr>
            <w:r>
              <w:rPr>
                <w:rFonts w:hint="eastAsia"/>
              </w:rPr>
              <w:t>可转换公司债券、分离交易可转换公司债券</w:t>
            </w:r>
          </w:p>
        </w:tc>
        <w:tc>
          <w:tcPr>
            <w:tcW w:w="0" w:type="auto"/>
            <w:tcBorders>
              <w:top w:val="single" w:color="DDD9C3" w:sz="6" w:space="0"/>
              <w:left w:val="single" w:color="DDD9C3" w:sz="6" w:space="0"/>
              <w:bottom w:val="single" w:color="DDD9C3" w:sz="6" w:space="0"/>
              <w:right w:val="single" w:color="DDD9C3" w:sz="6" w:space="0"/>
            </w:tcBorders>
            <w:shd w:val="clear" w:color="auto" w:fill="F7F7F7"/>
            <w:vAlign w:val="top"/>
          </w:tcPr>
          <w:p>
            <w:pPr>
              <w:rPr>
                <w:rFonts w:hint="eastAsia"/>
              </w:rPr>
            </w:pPr>
            <w:r>
              <w:rPr>
                <w:rFonts w:hint="default"/>
              </w:rPr>
              <w:t>沪市：不超过成交金额的0.02%，起点1元；</w:t>
            </w:r>
            <w:r>
              <w:rPr>
                <w:rFonts w:hint="default"/>
              </w:rPr>
              <w:br w:type="textWrapping"/>
            </w:r>
            <w:r>
              <w:rPr>
                <w:rFonts w:hint="default"/>
              </w:rPr>
              <w:t>深市：不超过成交金额的0.1%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2F2F2"/>
            <w:vAlign w:val="center"/>
          </w:tcPr>
          <w:p>
            <w:pPr>
              <w:rPr>
                <w:rFonts w:hint="eastAsia"/>
              </w:rPr>
            </w:pPr>
            <w:r>
              <w:rPr>
                <w:rFonts w:hint="eastAsia"/>
              </w:rPr>
              <w:t>可交债换股</w:t>
            </w:r>
          </w:p>
        </w:tc>
        <w:tc>
          <w:tcPr>
            <w:tcW w:w="0" w:type="auto"/>
            <w:tcBorders>
              <w:top w:val="single" w:color="DDD9C3" w:sz="6" w:space="0"/>
              <w:left w:val="single" w:color="DDD9C3" w:sz="6" w:space="0"/>
              <w:bottom w:val="single" w:color="DDD9C3" w:sz="6" w:space="0"/>
              <w:right w:val="single" w:color="DDD9C3" w:sz="6" w:space="0"/>
            </w:tcBorders>
            <w:shd w:val="clear" w:color="auto" w:fill="F2F2F2"/>
            <w:vAlign w:val="top"/>
          </w:tcPr>
          <w:p>
            <w:pPr>
              <w:rPr>
                <w:rFonts w:hint="eastAsia"/>
              </w:rPr>
            </w:pPr>
            <w:r>
              <w:rPr>
                <w:rFonts w:hint="default"/>
              </w:rPr>
              <w:t>不超过成交金额的0.3%，起点5元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7F7F7"/>
          <w:tblCellMar>
            <w:top w:w="0" w:type="dxa"/>
            <w:left w:w="0" w:type="dxa"/>
            <w:bottom w:w="0" w:type="dxa"/>
            <w:right w:w="0" w:type="dxa"/>
          </w:tblCellMar>
        </w:tblPrEx>
        <w:trPr>
          <w:jc w:val="center"/>
        </w:trPr>
        <w:tc>
          <w:tcPr>
            <w:tcW w:w="0" w:type="auto"/>
            <w:tcBorders>
              <w:top w:val="single" w:color="DDD9C3" w:sz="6" w:space="0"/>
              <w:left w:val="single" w:color="DDD9C3" w:sz="6" w:space="0"/>
              <w:bottom w:val="single" w:color="DDD9C3" w:sz="6" w:space="0"/>
              <w:right w:val="single" w:color="DDD9C3" w:sz="6" w:space="0"/>
            </w:tcBorders>
            <w:shd w:val="clear" w:color="auto" w:fill="F7F7F7"/>
            <w:vAlign w:val="center"/>
          </w:tcPr>
          <w:p>
            <w:pPr>
              <w:rPr>
                <w:rFonts w:hint="eastAsia"/>
              </w:rPr>
            </w:pPr>
            <w:r>
              <w:rPr>
                <w:rFonts w:hint="eastAsia"/>
              </w:rPr>
              <w:t>债券质押式回购</w:t>
            </w:r>
          </w:p>
        </w:tc>
        <w:tc>
          <w:tcPr>
            <w:tcW w:w="0" w:type="auto"/>
            <w:tcBorders>
              <w:top w:val="single" w:color="DDD9C3" w:sz="6" w:space="0"/>
              <w:left w:val="single" w:color="DDD9C3" w:sz="6" w:space="0"/>
              <w:bottom w:val="single" w:color="DDD9C3" w:sz="6" w:space="0"/>
              <w:right w:val="single" w:color="DDD9C3" w:sz="6" w:space="0"/>
            </w:tcBorders>
            <w:shd w:val="clear" w:color="auto" w:fill="F7F7F7"/>
            <w:vAlign w:val="top"/>
          </w:tcPr>
          <w:p>
            <w:pPr>
              <w:rPr>
                <w:rFonts w:hint="eastAsia"/>
              </w:rPr>
            </w:pPr>
            <w:r>
              <w:rPr>
                <w:rFonts w:hint="default"/>
              </w:rPr>
              <w:t>1天期正、逆回购按不超过成交价额的0.001%收取</w:t>
            </w:r>
            <w:r>
              <w:rPr>
                <w:rFonts w:hint="default"/>
              </w:rPr>
              <w:br w:type="textWrapping"/>
            </w:r>
            <w:r>
              <w:rPr>
                <w:rFonts w:hint="default"/>
              </w:rPr>
              <w:t>2天期正、逆回购按不超过成交价额的0.002%收取</w:t>
            </w:r>
            <w:r>
              <w:rPr>
                <w:rFonts w:hint="default"/>
              </w:rPr>
              <w:br w:type="textWrapping"/>
            </w:r>
            <w:r>
              <w:rPr>
                <w:rFonts w:hint="default"/>
              </w:rPr>
              <w:t>3天期正、逆回购按不超过成交价额的0.003%收取</w:t>
            </w:r>
            <w:r>
              <w:rPr>
                <w:rFonts w:hint="default"/>
              </w:rPr>
              <w:br w:type="textWrapping"/>
            </w:r>
            <w:r>
              <w:rPr>
                <w:rFonts w:hint="default"/>
              </w:rPr>
              <w:t>4天期正、逆回购按不超过成交价额的0.004%收取</w:t>
            </w:r>
            <w:r>
              <w:rPr>
                <w:rFonts w:hint="default"/>
              </w:rPr>
              <w:br w:type="textWrapping"/>
            </w:r>
            <w:r>
              <w:rPr>
                <w:rFonts w:hint="default"/>
              </w:rPr>
              <w:t>7天期正、逆回购按不超过成交价额的0.005%收取</w:t>
            </w:r>
            <w:r>
              <w:rPr>
                <w:rFonts w:hint="default"/>
              </w:rPr>
              <w:br w:type="textWrapping"/>
            </w:r>
            <w:r>
              <w:rPr>
                <w:rFonts w:hint="default"/>
              </w:rPr>
              <w:t>14天期正、逆回购按不超过成交价额的0.01%收取</w:t>
            </w:r>
            <w:r>
              <w:rPr>
                <w:rFonts w:hint="default"/>
              </w:rPr>
              <w:br w:type="textWrapping"/>
            </w:r>
            <w:r>
              <w:rPr>
                <w:rFonts w:hint="default"/>
              </w:rPr>
              <w:t>28天期正、逆回购按不超过成交价额的0.02%收取</w:t>
            </w:r>
            <w:r>
              <w:rPr>
                <w:rFonts w:hint="default"/>
              </w:rPr>
              <w:br w:type="textWrapping"/>
            </w:r>
            <w:r>
              <w:rPr>
                <w:rFonts w:hint="default"/>
              </w:rPr>
              <w:t>91天期正、逆回购按不超过成交价额的0.03%收取</w:t>
            </w:r>
            <w:r>
              <w:rPr>
                <w:rFonts w:hint="default"/>
              </w:rPr>
              <w:br w:type="textWrapping"/>
            </w:r>
            <w:r>
              <w:rPr>
                <w:rFonts w:hint="default"/>
              </w:rPr>
              <w:t>182天期正、逆回购按不超过成交价额的0.03%收取</w:t>
            </w:r>
          </w:p>
        </w:tc>
      </w:tr>
    </w:tbl>
    <w:p>
      <w:pPr>
        <w:rPr>
          <w:rFonts w:hint="eastAsia"/>
        </w:rPr>
      </w:pPr>
    </w:p>
    <w:p>
      <w:pPr>
        <w:rPr>
          <w:rFonts w:hint="eastAsia"/>
        </w:rPr>
      </w:pPr>
      <w:r>
        <w:rPr>
          <w:rFonts w:hint="default"/>
        </w:rPr>
        <w:t>重要提示：</w:t>
      </w:r>
    </w:p>
    <w:p>
      <w:pPr>
        <w:rPr>
          <w:rFonts w:hint="eastAsia"/>
        </w:rPr>
      </w:pPr>
      <w:r>
        <w:rPr>
          <w:rFonts w:hint="default"/>
        </w:rPr>
        <w:t>1.上述佣金收取标准包含经手费、证管费、结算费、证券结算风险基金及深圳市场过户费，不向投资者单独收取。印花税、上海市场过户费等由投资者承担，其中，印花税向出让方单独收取，上海市场过户费向买卖双方单独收取。</w:t>
      </w:r>
    </w:p>
    <w:p>
      <w:pPr>
        <w:rPr>
          <w:rFonts w:hint="eastAsia"/>
        </w:rPr>
      </w:pPr>
      <w:r>
        <w:rPr>
          <w:rFonts w:hint="default"/>
        </w:rPr>
        <w:t>2.上述佣金收取标准为公司向投资者收取的佣金上限，即默认佣金。投资者实际产生的证券交易佣金按照所申请并调整设置后的佣金费率收取，未申请调整的证券品种将按照默认佣金收取，详情咨询开户营业部。</w:t>
      </w:r>
    </w:p>
    <w:p>
      <w:pPr>
        <w:rPr>
          <w:rFonts w:hint="eastAsia"/>
        </w:rPr>
      </w:pPr>
      <w:r>
        <w:rPr>
          <w:rFonts w:hint="default"/>
        </w:rPr>
        <w:t>3.其他品种证券交易佣金收费标准严格遵守证监会、证券业协会、交易所及登记结算公司的相关规定，按照与投资者协商约定的佣金费率收取，不低于证券交易服务成本。</w:t>
      </w:r>
    </w:p>
    <w:p>
      <w:pPr>
        <w:rPr>
          <w:rFonts w:hint="eastAsia"/>
        </w:rPr>
      </w:pPr>
      <w:r>
        <w:rPr>
          <w:rFonts w:hint="default"/>
        </w:rPr>
        <w:t>4.如交易所、登记结算公司等行业有规定的收费标准发生变更，公司将同时变更代收标准。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62CD8"/>
    <w:rsid w:val="485671BC"/>
    <w:rsid w:val="6136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2023-08-29T01:07:00Z</dcterms:created>
  <dc:creator>194-2988-xhl</dc:creator>
  <cp:lastModifiedBy>194-2988-xhl</cp:lastModifiedBy>
  <dcterms:modified xsi:type="dcterms:W3CDTF">2023-08-29T01:14:26Z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AA8D44F1B68F40028217686792A3F70F</vt:lpwstr>
  </property>
</Properties>
</file>