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bookmarkStart w:id="0" w:name="_GoBack"/>
      <w:bookmarkEnd w:id="0"/>
      <w:r>
        <w:rPr>
          <w:rFonts w:hint="eastAsia"/>
          <w:b/>
          <w:sz w:val="28"/>
          <w:szCs w:val="28"/>
        </w:rPr>
        <w:t>海通证券上海普陀区铜川路证券营业部交易佣金、</w:t>
      </w:r>
    </w:p>
    <w:p>
      <w:pPr>
        <w:jc w:val="center"/>
        <w:rPr>
          <w:rFonts w:hint="eastAsia"/>
          <w:b/>
          <w:sz w:val="28"/>
          <w:szCs w:val="28"/>
        </w:rPr>
      </w:pPr>
      <w:r>
        <w:rPr>
          <w:rFonts w:hint="eastAsia"/>
          <w:b/>
          <w:sz w:val="28"/>
          <w:szCs w:val="28"/>
        </w:rPr>
        <w:t>服务费用收取标准及收取方式告知确认书</w:t>
      </w:r>
    </w:p>
    <w:p>
      <w:pPr>
        <w:spacing w:line="360" w:lineRule="auto"/>
        <w:rPr>
          <w:rFonts w:ascii="宋体" w:hAnsi="宋体"/>
          <w:sz w:val="24"/>
          <w:szCs w:val="24"/>
        </w:rPr>
      </w:pPr>
      <w:r>
        <w:rPr>
          <w:rFonts w:hint="eastAsia" w:ascii="宋体" w:hAnsi="宋体"/>
          <w:sz w:val="24"/>
          <w:szCs w:val="24"/>
        </w:rPr>
        <w:t>尊敬的客户：</w:t>
      </w:r>
    </w:p>
    <w:p>
      <w:pPr>
        <w:spacing w:line="360" w:lineRule="auto"/>
        <w:ind w:firstLine="540" w:firstLineChars="225"/>
        <w:rPr>
          <w:rFonts w:hint="eastAsia" w:ascii="宋体" w:hAnsi="宋体"/>
          <w:sz w:val="24"/>
          <w:szCs w:val="24"/>
        </w:rPr>
      </w:pPr>
      <w:r>
        <w:rPr>
          <w:rFonts w:hint="eastAsia" w:ascii="宋体" w:hAnsi="宋体"/>
          <w:sz w:val="24"/>
          <w:szCs w:val="24"/>
        </w:rPr>
        <w:t>根据证券监管机构关于客户服务和佣金管理有关规定，现将我部交易佣金、服务费用收取标准和收取方式告知如下：</w:t>
      </w:r>
    </w:p>
    <w:p>
      <w:pPr>
        <w:numPr>
          <w:ilvl w:val="0"/>
          <w:numId w:val="1"/>
        </w:numPr>
        <w:spacing w:before="156" w:beforeLines="50" w:after="156" w:afterLines="50"/>
        <w:jc w:val="left"/>
        <w:rPr>
          <w:rFonts w:hint="eastAsia" w:ascii="宋体" w:hAnsi="宋体"/>
          <w:b/>
          <w:sz w:val="24"/>
          <w:szCs w:val="28"/>
        </w:rPr>
      </w:pPr>
      <w:r>
        <w:rPr>
          <w:rFonts w:hint="eastAsia" w:ascii="宋体" w:hAnsi="宋体"/>
          <w:b/>
          <w:sz w:val="24"/>
          <w:szCs w:val="28"/>
        </w:rPr>
        <w:t>佣金收取标准</w:t>
      </w:r>
    </w:p>
    <w:tbl>
      <w:tblPr>
        <w:tblStyle w:val="5"/>
        <w:tblW w:w="0" w:type="auto"/>
        <w:tblInd w:w="96" w:type="dxa"/>
        <w:tblLayout w:type="autofit"/>
        <w:tblCellMar>
          <w:top w:w="0" w:type="dxa"/>
          <w:left w:w="108" w:type="dxa"/>
          <w:bottom w:w="0" w:type="dxa"/>
          <w:right w:w="108" w:type="dxa"/>
        </w:tblCellMar>
      </w:tblPr>
      <w:tblGrid>
        <w:gridCol w:w="1164"/>
        <w:gridCol w:w="1861"/>
        <w:gridCol w:w="866"/>
        <w:gridCol w:w="2710"/>
        <w:gridCol w:w="2590"/>
      </w:tblGrid>
      <w:tr>
        <w:tblPrEx>
          <w:tblCellMar>
            <w:top w:w="0" w:type="dxa"/>
            <w:left w:w="108" w:type="dxa"/>
            <w:bottom w:w="0" w:type="dxa"/>
            <w:right w:w="108" w:type="dxa"/>
          </w:tblCellMar>
        </w:tblPrEx>
        <w:trPr>
          <w:trHeight w:val="312" w:hRule="atLeast"/>
        </w:trPr>
        <w:tc>
          <w:tcPr>
            <w:tcW w:w="30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b/>
                <w:bCs/>
                <w:kern w:val="0"/>
                <w:sz w:val="18"/>
                <w:szCs w:val="18"/>
              </w:rPr>
            </w:pPr>
            <w:r>
              <w:rPr>
                <w:rStyle w:val="10"/>
                <w:lang w:val="en-US" w:eastAsia="zh-CN" w:bidi="ar"/>
              </w:rPr>
              <w:t>项目</w:t>
            </w:r>
          </w:p>
        </w:tc>
        <w:tc>
          <w:tcPr>
            <w:tcW w:w="6166" w:type="dxa"/>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b/>
                <w:bCs/>
                <w:kern w:val="0"/>
                <w:sz w:val="18"/>
                <w:szCs w:val="18"/>
              </w:rPr>
            </w:pPr>
            <w:r>
              <w:rPr>
                <w:rStyle w:val="10"/>
                <w:lang w:val="en-US" w:eastAsia="zh-CN" w:bidi="ar"/>
              </w:rPr>
              <w:t>佣金率（‰）</w:t>
            </w:r>
          </w:p>
        </w:tc>
      </w:tr>
      <w:tr>
        <w:tblPrEx>
          <w:tblCellMar>
            <w:top w:w="0" w:type="dxa"/>
            <w:left w:w="108" w:type="dxa"/>
            <w:bottom w:w="0" w:type="dxa"/>
            <w:right w:w="108" w:type="dxa"/>
          </w:tblCellMar>
        </w:tblPrEx>
        <w:trPr>
          <w:trHeight w:val="1020" w:hRule="atLeast"/>
        </w:trPr>
        <w:tc>
          <w:tcPr>
            <w:tcW w:w="302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普通客户佣金率</w:t>
            </w:r>
          </w:p>
        </w:tc>
        <w:tc>
          <w:tcPr>
            <w:tcW w:w="6166"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该类客户交易佣金率上限不能高于3.0‰，下限不能低于0.1‰。</w:t>
            </w:r>
          </w:p>
        </w:tc>
      </w:tr>
      <w:tr>
        <w:tblPrEx>
          <w:tblCellMar>
            <w:top w:w="0" w:type="dxa"/>
            <w:left w:w="108" w:type="dxa"/>
            <w:bottom w:w="0" w:type="dxa"/>
            <w:right w:w="108" w:type="dxa"/>
          </w:tblCellMar>
        </w:tblPrEx>
        <w:trPr>
          <w:trHeight w:val="660" w:hRule="atLeast"/>
        </w:trPr>
        <w:tc>
          <w:tcPr>
            <w:tcW w:w="3025" w:type="dxa"/>
            <w:gridSpan w:val="2"/>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6166" w:type="dxa"/>
            <w:gridSpan w:val="3"/>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Style w:val="11"/>
                <w:lang w:val="en-US" w:eastAsia="zh-CN" w:bidi="ar"/>
              </w:rPr>
              <w:t>客户佣金率=交易佣金率+综合佣金率。其中，交易佣金率=基础佣金率*客户级别调整系数*交易方式调整系数*客户忠诚度系数。</w:t>
            </w:r>
          </w:p>
        </w:tc>
      </w:tr>
      <w:tr>
        <w:tblPrEx>
          <w:tblCellMar>
            <w:top w:w="0" w:type="dxa"/>
            <w:left w:w="108" w:type="dxa"/>
            <w:bottom w:w="0" w:type="dxa"/>
            <w:right w:w="108" w:type="dxa"/>
          </w:tblCellMar>
        </w:tblPrEx>
        <w:trPr>
          <w:trHeight w:val="312" w:hRule="atLeast"/>
        </w:trPr>
        <w:tc>
          <w:tcPr>
            <w:tcW w:w="1164"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特殊客户佣金率</w:t>
            </w:r>
          </w:p>
        </w:tc>
        <w:tc>
          <w:tcPr>
            <w:tcW w:w="1861" w:type="dxa"/>
            <w:vMerge w:val="restart"/>
            <w:tcBorders>
              <w:top w:val="nil"/>
              <w:left w:val="single" w:color="auto" w:sz="4" w:space="0"/>
              <w:bottom w:val="nil"/>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线下服务</w:t>
            </w: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1000</w:t>
            </w:r>
            <w:r>
              <w:rPr>
                <w:rStyle w:val="11"/>
                <w:lang w:val="en-US" w:eastAsia="zh-CN" w:bidi="ar"/>
              </w:rPr>
              <w:t xml:space="preserve"> 万元 或 月交易量达 </w:t>
            </w:r>
            <w:r>
              <w:rPr>
                <w:rStyle w:val="12"/>
                <w:rFonts w:eastAsia="宋体"/>
                <w:lang w:val="en-US" w:eastAsia="zh-CN" w:bidi="ar"/>
              </w:rPr>
              <w:t>5000</w:t>
            </w:r>
            <w:r>
              <w:rPr>
                <w:rStyle w:val="11"/>
                <w:lang w:val="en-US" w:eastAsia="zh-CN" w:bidi="ar"/>
              </w:rPr>
              <w:t xml:space="preserve">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0.18</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single" w:color="auto" w:sz="4" w:space="0"/>
              <w:bottom w:val="nil"/>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5000</w:t>
            </w:r>
            <w:r>
              <w:rPr>
                <w:rStyle w:val="11"/>
                <w:lang w:val="en-US" w:eastAsia="zh-CN" w:bidi="ar"/>
              </w:rPr>
              <w:t xml:space="preserve"> 万元 或 月交易量达 </w:t>
            </w:r>
            <w:r>
              <w:rPr>
                <w:rStyle w:val="12"/>
                <w:rFonts w:eastAsia="宋体"/>
                <w:lang w:val="en-US" w:eastAsia="zh-CN" w:bidi="ar"/>
              </w:rPr>
              <w:t>25000</w:t>
            </w:r>
            <w:r>
              <w:rPr>
                <w:rStyle w:val="11"/>
                <w:lang w:val="en-US" w:eastAsia="zh-CN" w:bidi="ar"/>
              </w:rPr>
              <w:t xml:space="preserve">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0.14</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single" w:color="auto" w:sz="4" w:space="0"/>
              <w:bottom w:val="nil"/>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8000</w:t>
            </w:r>
            <w:r>
              <w:rPr>
                <w:rStyle w:val="11"/>
                <w:lang w:val="en-US" w:eastAsia="zh-CN" w:bidi="ar"/>
              </w:rPr>
              <w:t xml:space="preserve"> 万元 或 月交易量达 </w:t>
            </w:r>
            <w:r>
              <w:rPr>
                <w:rStyle w:val="12"/>
                <w:rFonts w:eastAsia="宋体"/>
                <w:lang w:val="en-US" w:eastAsia="zh-CN" w:bidi="ar"/>
              </w:rPr>
              <w:t>40000</w:t>
            </w:r>
            <w:r>
              <w:rPr>
                <w:rStyle w:val="11"/>
                <w:lang w:val="en-US" w:eastAsia="zh-CN" w:bidi="ar"/>
              </w:rPr>
              <w:t xml:space="preserve">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0.12</w:t>
            </w:r>
            <w:r>
              <w:rPr>
                <w:rStyle w:val="11"/>
                <w:lang w:val="en-US" w:eastAsia="zh-CN" w:bidi="ar"/>
              </w:rPr>
              <w:t>‰</w:t>
            </w:r>
          </w:p>
        </w:tc>
      </w:tr>
      <w:tr>
        <w:tblPrEx>
          <w:tblCellMar>
            <w:top w:w="0" w:type="dxa"/>
            <w:left w:w="108" w:type="dxa"/>
            <w:bottom w:w="0" w:type="dxa"/>
            <w:right w:w="108" w:type="dxa"/>
          </w:tblCellMar>
        </w:tblPrEx>
        <w:trPr>
          <w:trHeight w:val="6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single" w:color="auto" w:sz="4" w:space="0"/>
              <w:bottom w:val="nil"/>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10000</w:t>
            </w:r>
            <w:r>
              <w:rPr>
                <w:rStyle w:val="11"/>
                <w:lang w:val="en-US" w:eastAsia="zh-CN" w:bidi="ar"/>
              </w:rPr>
              <w:t xml:space="preserve"> 万元 或 月交易量达 </w:t>
            </w:r>
            <w:r>
              <w:rPr>
                <w:rStyle w:val="12"/>
                <w:rFonts w:eastAsia="宋体"/>
                <w:lang w:val="en-US" w:eastAsia="zh-CN" w:bidi="ar"/>
              </w:rPr>
              <w:t>50000</w:t>
            </w:r>
            <w:r>
              <w:rPr>
                <w:rStyle w:val="11"/>
                <w:lang w:val="en-US" w:eastAsia="zh-CN" w:bidi="ar"/>
              </w:rPr>
              <w:t xml:space="preserve"> 万元或特定机构户、量化交易户、产品户、理财产品专户</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0.0754</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线上服务</w:t>
            </w: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50</w:t>
            </w:r>
            <w:r>
              <w:rPr>
                <w:rStyle w:val="11"/>
                <w:lang w:val="en-US" w:eastAsia="zh-CN" w:bidi="ar"/>
              </w:rPr>
              <w:t xml:space="preserve"> 万元 或 月交易量达500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0.13</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500</w:t>
            </w:r>
            <w:r>
              <w:rPr>
                <w:rStyle w:val="11"/>
                <w:lang w:val="en-US" w:eastAsia="zh-CN" w:bidi="ar"/>
              </w:rPr>
              <w:t xml:space="preserve"> 万元 或 月交易量达 </w:t>
            </w:r>
            <w:r>
              <w:rPr>
                <w:rStyle w:val="12"/>
                <w:rFonts w:eastAsia="宋体"/>
                <w:lang w:val="en-US" w:eastAsia="zh-CN" w:bidi="ar"/>
              </w:rPr>
              <w:t>2000</w:t>
            </w:r>
            <w:r>
              <w:rPr>
                <w:rStyle w:val="11"/>
                <w:lang w:val="en-US" w:eastAsia="zh-CN" w:bidi="ar"/>
              </w:rPr>
              <w:t xml:space="preserve">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0.12</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1000</w:t>
            </w:r>
            <w:r>
              <w:rPr>
                <w:rStyle w:val="11"/>
                <w:lang w:val="en-US" w:eastAsia="zh-CN" w:bidi="ar"/>
              </w:rPr>
              <w:t xml:space="preserve"> 万元 或 月交易量达 </w:t>
            </w:r>
            <w:r>
              <w:rPr>
                <w:rStyle w:val="12"/>
                <w:rFonts w:eastAsia="宋体"/>
                <w:lang w:val="en-US" w:eastAsia="zh-CN" w:bidi="ar"/>
              </w:rPr>
              <w:t>4000</w:t>
            </w:r>
            <w:r>
              <w:rPr>
                <w:rStyle w:val="11"/>
                <w:lang w:val="en-US" w:eastAsia="zh-CN" w:bidi="ar"/>
              </w:rPr>
              <w:t xml:space="preserve"> 万元</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3576" w:type="dxa"/>
            <w:gridSpan w:val="2"/>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 xml:space="preserve">资产≥ </w:t>
            </w:r>
            <w:r>
              <w:rPr>
                <w:rStyle w:val="12"/>
                <w:rFonts w:eastAsia="宋体"/>
                <w:lang w:val="en-US" w:eastAsia="zh-CN" w:bidi="ar"/>
              </w:rPr>
              <w:t>10000</w:t>
            </w:r>
            <w:r>
              <w:rPr>
                <w:rStyle w:val="11"/>
                <w:lang w:val="en-US" w:eastAsia="zh-CN" w:bidi="ar"/>
              </w:rPr>
              <w:t xml:space="preserve"> 万元 或 月交易量达 </w:t>
            </w:r>
            <w:r>
              <w:rPr>
                <w:rStyle w:val="12"/>
                <w:rFonts w:eastAsia="宋体"/>
                <w:lang w:val="en-US" w:eastAsia="zh-CN" w:bidi="ar"/>
              </w:rPr>
              <w:t>10000</w:t>
            </w:r>
            <w:r>
              <w:rPr>
                <w:rStyle w:val="11"/>
                <w:lang w:val="en-US" w:eastAsia="zh-CN" w:bidi="ar"/>
              </w:rPr>
              <w:t xml:space="preserve"> 万元或机构户、量化交易户、产品户、理财产品专户或组织开展的不定期营销活动所开账户。</w:t>
            </w:r>
          </w:p>
        </w:tc>
        <w:tc>
          <w:tcPr>
            <w:tcW w:w="259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0.0754</w:t>
            </w:r>
            <w:r>
              <w:rPr>
                <w:rStyle w:val="11"/>
                <w:lang w:val="en-US" w:eastAsia="zh-CN" w:bidi="ar"/>
              </w:rPr>
              <w:t>‰</w:t>
            </w:r>
          </w:p>
        </w:tc>
      </w:tr>
      <w:tr>
        <w:tblPrEx>
          <w:tblCellMar>
            <w:top w:w="0" w:type="dxa"/>
            <w:left w:w="108" w:type="dxa"/>
            <w:bottom w:w="0" w:type="dxa"/>
            <w:right w:w="108" w:type="dxa"/>
          </w:tblCellMar>
        </w:tblPrEx>
        <w:trPr>
          <w:trHeight w:val="312" w:hRule="atLeast"/>
        </w:trPr>
        <w:tc>
          <w:tcPr>
            <w:tcW w:w="3025" w:type="dxa"/>
            <w:gridSpan w:val="2"/>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ETF、LOF等基金交易品种、债券现券、债券回购、股票（北交所、股转市场）、期权</w:t>
            </w:r>
          </w:p>
        </w:tc>
        <w:tc>
          <w:tcPr>
            <w:tcW w:w="6166" w:type="dxa"/>
            <w:gridSpan w:val="3"/>
            <w:tcBorders>
              <w:top w:val="single" w:color="auto" w:sz="4" w:space="0"/>
              <w:left w:val="nil"/>
              <w:bottom w:val="single" w:color="auto" w:sz="4" w:space="0"/>
              <w:right w:val="nil"/>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不低于交易所及公司内部收费标准，双方协商约定</w:t>
            </w:r>
          </w:p>
        </w:tc>
      </w:tr>
      <w:tr>
        <w:tblPrEx>
          <w:tblCellMar>
            <w:top w:w="0" w:type="dxa"/>
            <w:left w:w="108" w:type="dxa"/>
            <w:bottom w:w="0" w:type="dxa"/>
            <w:right w:w="108" w:type="dxa"/>
          </w:tblCellMar>
        </w:tblPrEx>
        <w:trPr>
          <w:trHeight w:val="312" w:hRule="atLeast"/>
        </w:trPr>
        <w:tc>
          <w:tcPr>
            <w:tcW w:w="9191" w:type="dxa"/>
            <w:gridSpan w:val="5"/>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海通证券交易佣金结构</w:t>
            </w:r>
          </w:p>
        </w:tc>
      </w:tr>
      <w:tr>
        <w:tblPrEx>
          <w:tblCellMar>
            <w:top w:w="0" w:type="dxa"/>
            <w:left w:w="108" w:type="dxa"/>
            <w:bottom w:w="0" w:type="dxa"/>
            <w:right w:w="108" w:type="dxa"/>
          </w:tblCellMar>
        </w:tblPrEx>
        <w:trPr>
          <w:trHeight w:val="312" w:hRule="atLeast"/>
        </w:trPr>
        <w:tc>
          <w:tcPr>
            <w:tcW w:w="11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一级分类</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pPr>
            <w:r>
              <w:rPr>
                <w:rStyle w:val="11"/>
                <w:lang w:val="en-US" w:eastAsia="zh-CN" w:bidi="ar"/>
              </w:rPr>
              <w:t>二级分类</w:t>
            </w:r>
          </w:p>
        </w:tc>
        <w:tc>
          <w:tcPr>
            <w:tcW w:w="86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三级分类</w:t>
            </w:r>
          </w:p>
        </w:tc>
        <w:tc>
          <w:tcPr>
            <w:tcW w:w="27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pPr>
            <w:r>
              <w:rPr>
                <w:rStyle w:val="11"/>
                <w:lang w:val="en-US" w:eastAsia="zh-CN" w:bidi="ar"/>
              </w:rPr>
              <w:t>参数</w:t>
            </w:r>
          </w:p>
        </w:tc>
        <w:tc>
          <w:tcPr>
            <w:tcW w:w="259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pPr>
            <w:r>
              <w:rPr>
                <w:rStyle w:val="11"/>
                <w:lang w:val="en-US" w:eastAsia="zh-CN" w:bidi="ar"/>
              </w:rPr>
              <w:t>佣金系数</w:t>
            </w:r>
          </w:p>
        </w:tc>
      </w:tr>
      <w:tr>
        <w:tblPrEx>
          <w:tblCellMar>
            <w:top w:w="0" w:type="dxa"/>
            <w:left w:w="108" w:type="dxa"/>
            <w:bottom w:w="0" w:type="dxa"/>
            <w:right w:w="108" w:type="dxa"/>
          </w:tblCellMar>
        </w:tblPrEx>
        <w:trPr>
          <w:trHeight w:val="312" w:hRule="atLeast"/>
        </w:trPr>
        <w:tc>
          <w:tcPr>
            <w:tcW w:w="11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交易佣金率</w:t>
            </w:r>
          </w:p>
        </w:tc>
        <w:tc>
          <w:tcPr>
            <w:tcW w:w="18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Style w:val="11"/>
                <w:lang w:val="en-US" w:eastAsia="zh-CN" w:bidi="ar"/>
              </w:rPr>
              <w:t>基础佣金率</w:t>
            </w:r>
          </w:p>
        </w:tc>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Style w:val="11"/>
                <w:lang w:val="en-US" w:eastAsia="zh-CN" w:bidi="ar"/>
              </w:rPr>
              <w:t>-</w:t>
            </w:r>
          </w:p>
        </w:tc>
        <w:tc>
          <w:tcPr>
            <w:tcW w:w="27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Style w:val="11"/>
                <w:lang w:val="en-US" w:eastAsia="zh-CN" w:bidi="ar"/>
              </w:rPr>
              <w:t>-</w:t>
            </w:r>
          </w:p>
        </w:tc>
        <w:tc>
          <w:tcPr>
            <w:tcW w:w="2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Style w:val="11"/>
                <w:lang w:val="en-US" w:eastAsia="zh-CN" w:bidi="ar"/>
              </w:rPr>
              <w:t>0.26‰</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restar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客户级别调整系数（资产，或者由交易量测算的资产当量）</w:t>
            </w: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资产级别A</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[1000万,+∞)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0.50～0.70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nil"/>
              <w:bottom w:val="nil"/>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资产级别B</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[500万,1000万)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0.60～0.80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资产级别C</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[200万,500万)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0.70～0.90</w:t>
            </w:r>
          </w:p>
        </w:tc>
      </w:tr>
      <w:tr>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资产级别D</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[50万,200万)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0.90～1.00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资产级别E</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[20万,50万)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1.00～1.50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资产级别F</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[5万,20万)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1.20～2.00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资产级别G</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[0万,5万)</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1.30～3.00</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交易方式调整系数</w:t>
            </w: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非现场</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0.2</w:t>
            </w:r>
          </w:p>
        </w:tc>
      </w:tr>
      <w:tr>
        <w:tblPrEx>
          <w:tblCellMar>
            <w:top w:w="0" w:type="dxa"/>
            <w:left w:w="108" w:type="dxa"/>
            <w:bottom w:w="0" w:type="dxa"/>
            <w:right w:w="108" w:type="dxa"/>
          </w:tblCellMar>
        </w:tblPrEx>
        <w:trPr>
          <w:trHeight w:val="330"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现场</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0.8</w:t>
            </w:r>
          </w:p>
        </w:tc>
      </w:tr>
      <w:tr>
        <w:tblPrEx>
          <w:tblCellMar>
            <w:top w:w="0" w:type="dxa"/>
            <w:left w:w="108" w:type="dxa"/>
            <w:bottom w:w="0" w:type="dxa"/>
            <w:right w:w="108" w:type="dxa"/>
          </w:tblCellMar>
        </w:tblPrEx>
        <w:trPr>
          <w:trHeight w:val="312"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客户忠诚度调整系数</w:t>
            </w: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忠诚度A</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&gt;=10年</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0.60～0.80</w:t>
            </w:r>
          </w:p>
        </w:tc>
      </w:tr>
      <w:tr>
        <w:tblPrEx>
          <w:tblCellMar>
            <w:top w:w="0" w:type="dxa"/>
            <w:left w:w="108" w:type="dxa"/>
            <w:bottom w:w="0" w:type="dxa"/>
            <w:right w:w="108" w:type="dxa"/>
          </w:tblCellMar>
        </w:tblPrEx>
        <w:trPr>
          <w:trHeight w:val="285"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忠诚度B</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[5年,10年）</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0.70～0.90</w:t>
            </w:r>
          </w:p>
        </w:tc>
      </w:tr>
      <w:tr>
        <w:tblPrEx>
          <w:tblCellMar>
            <w:top w:w="0" w:type="dxa"/>
            <w:left w:w="108" w:type="dxa"/>
            <w:bottom w:w="0" w:type="dxa"/>
            <w:right w:w="108" w:type="dxa"/>
          </w:tblCellMar>
        </w:tblPrEx>
        <w:trPr>
          <w:trHeight w:val="285"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忠诚度C</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[3年,5年）</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0.80～1.00</w:t>
            </w:r>
          </w:p>
        </w:tc>
      </w:tr>
      <w:tr>
        <w:tblPrEx>
          <w:tblCellMar>
            <w:top w:w="0" w:type="dxa"/>
            <w:left w:w="108" w:type="dxa"/>
            <w:bottom w:w="0" w:type="dxa"/>
            <w:right w:w="108" w:type="dxa"/>
          </w:tblCellMar>
        </w:tblPrEx>
        <w:trPr>
          <w:trHeight w:val="285" w:hRule="atLeast"/>
        </w:trPr>
        <w:tc>
          <w:tcPr>
            <w:tcW w:w="1164" w:type="dxa"/>
            <w:vMerge w:val="continue"/>
            <w:tcBorders>
              <w:top w:val="nil"/>
              <w:left w:val="single" w:color="auto" w:sz="4" w:space="0"/>
              <w:bottom w:val="single" w:color="000000"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1861"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86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忠诚度D</w:t>
            </w:r>
          </w:p>
        </w:tc>
        <w:tc>
          <w:tcPr>
            <w:tcW w:w="271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[0,3年）</w:t>
            </w:r>
          </w:p>
        </w:tc>
        <w:tc>
          <w:tcPr>
            <w:tcW w:w="259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3"/>
                <w:lang w:val="en-US" w:eastAsia="zh-CN" w:bidi="ar"/>
              </w:rPr>
              <w:t>0.90～1.50</w:t>
            </w:r>
          </w:p>
        </w:tc>
      </w:tr>
      <w:tr>
        <w:tblPrEx>
          <w:tblCellMar>
            <w:top w:w="0" w:type="dxa"/>
            <w:left w:w="108" w:type="dxa"/>
            <w:bottom w:w="0" w:type="dxa"/>
            <w:right w:w="108" w:type="dxa"/>
          </w:tblCellMar>
        </w:tblPrEx>
        <w:trPr>
          <w:trHeight w:val="678" w:hRule="atLeast"/>
        </w:trPr>
        <w:tc>
          <w:tcPr>
            <w:tcW w:w="1164" w:type="dxa"/>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both"/>
              <w:textAlignment w:val="center"/>
              <w:rPr>
                <w:rFonts w:ascii="宋体" w:hAnsi="宋体" w:cs="宋体"/>
                <w:kern w:val="0"/>
                <w:sz w:val="18"/>
                <w:szCs w:val="18"/>
              </w:rPr>
            </w:pPr>
            <w:r>
              <w:rPr>
                <w:rStyle w:val="11"/>
                <w:lang w:val="en-US" w:eastAsia="zh-CN" w:bidi="ar"/>
              </w:rPr>
              <w:t>综合佣金率</w:t>
            </w:r>
          </w:p>
        </w:tc>
        <w:tc>
          <w:tcPr>
            <w:tcW w:w="186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投资顾问服务费用</w:t>
            </w:r>
          </w:p>
        </w:tc>
        <w:tc>
          <w:tcPr>
            <w:tcW w:w="6166"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ascii="宋体" w:hAnsi="宋体" w:cs="宋体"/>
                <w:kern w:val="0"/>
                <w:sz w:val="18"/>
                <w:szCs w:val="18"/>
              </w:rPr>
            </w:pPr>
            <w:r>
              <w:rPr>
                <w:rStyle w:val="11"/>
                <w:lang w:val="en-US" w:eastAsia="zh-CN" w:bidi="ar"/>
              </w:rPr>
              <w:t>投资顾问服务费用按照客户与海通证券签署的投资顾问服务协议约定收取。</w:t>
            </w:r>
          </w:p>
        </w:tc>
      </w:tr>
      <w:tr>
        <w:tblPrEx>
          <w:tblCellMar>
            <w:top w:w="0" w:type="dxa"/>
            <w:left w:w="108" w:type="dxa"/>
            <w:bottom w:w="0" w:type="dxa"/>
            <w:right w:w="108" w:type="dxa"/>
          </w:tblCellMar>
        </w:tblPrEx>
        <w:trPr>
          <w:trHeight w:val="285" w:hRule="atLeast"/>
        </w:trPr>
        <w:tc>
          <w:tcPr>
            <w:tcW w:w="1164" w:type="dxa"/>
            <w:tcBorders>
              <w:top w:val="nil"/>
              <w:left w:val="single" w:color="auto" w:sz="4" w:space="0"/>
              <w:bottom w:val="single" w:color="000000" w:sz="4" w:space="0"/>
              <w:right w:val="single" w:color="auto" w:sz="4" w:space="0"/>
            </w:tcBorders>
            <w:shd w:val="clear" w:color="auto" w:fill="auto"/>
            <w:noWrap w:val="0"/>
            <w:vAlign w:val="center"/>
          </w:tcPr>
          <w:p>
            <w:pPr>
              <w:jc w:val="both"/>
              <w:rPr>
                <w:rFonts w:ascii="宋体" w:hAnsi="宋体" w:cs="宋体"/>
                <w:kern w:val="0"/>
                <w:sz w:val="18"/>
                <w:szCs w:val="18"/>
              </w:rPr>
            </w:pPr>
          </w:p>
        </w:tc>
        <w:tc>
          <w:tcPr>
            <w:tcW w:w="186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其他费用</w:t>
            </w:r>
          </w:p>
        </w:tc>
        <w:tc>
          <w:tcPr>
            <w:tcW w:w="6166" w:type="dxa"/>
            <w:gridSpan w:val="3"/>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ascii="宋体" w:hAnsi="宋体" w:cs="宋体"/>
                <w:kern w:val="0"/>
                <w:sz w:val="18"/>
                <w:szCs w:val="18"/>
              </w:rPr>
            </w:pPr>
            <w:r>
              <w:rPr>
                <w:rStyle w:val="11"/>
                <w:lang w:val="en-US" w:eastAsia="zh-CN" w:bidi="ar"/>
              </w:rPr>
              <w:t>除投资顾问服务协议约定外的其他服务价格，包括基础服务、资讯服务、咨询服务和增值服务等服务项目。</w:t>
            </w:r>
          </w:p>
        </w:tc>
      </w:tr>
      <w:tr>
        <w:tblPrEx>
          <w:tblCellMar>
            <w:top w:w="0" w:type="dxa"/>
            <w:left w:w="108" w:type="dxa"/>
            <w:bottom w:w="0" w:type="dxa"/>
            <w:right w:w="108" w:type="dxa"/>
          </w:tblCellMar>
        </w:tblPrEx>
        <w:trPr>
          <w:trHeight w:val="285" w:hRule="atLeast"/>
        </w:trPr>
        <w:tc>
          <w:tcPr>
            <w:tcW w:w="9191" w:type="dxa"/>
            <w:gridSpan w:val="5"/>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Style w:val="11"/>
                <w:lang w:val="en-US" w:eastAsia="zh-CN" w:bidi="ar"/>
              </w:rPr>
              <w:t>注：a&gt;营业部基础佣金率由上海地区平均佣金率作为计算参考；</w:t>
            </w:r>
          </w:p>
        </w:tc>
      </w:tr>
      <w:tr>
        <w:tblPrEx>
          <w:tblCellMar>
            <w:top w:w="0" w:type="dxa"/>
            <w:left w:w="108" w:type="dxa"/>
            <w:bottom w:w="0" w:type="dxa"/>
            <w:right w:w="108" w:type="dxa"/>
          </w:tblCellMar>
        </w:tblPrEx>
        <w:trPr>
          <w:trHeight w:val="285" w:hRule="atLeast"/>
        </w:trPr>
        <w:tc>
          <w:tcPr>
            <w:tcW w:w="9191" w:type="dxa"/>
            <w:gridSpan w:val="5"/>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Style w:val="11"/>
                <w:lang w:val="en-US" w:eastAsia="zh-CN" w:bidi="ar"/>
              </w:rPr>
              <w:t xml:space="preserve">    b&gt;交易量采用股票基金交易量，资产当量是指用交易量/本营业部平均周转率或市场周转率计算得来的资产；</w:t>
            </w:r>
          </w:p>
        </w:tc>
      </w:tr>
      <w:tr>
        <w:tblPrEx>
          <w:tblCellMar>
            <w:top w:w="0" w:type="dxa"/>
            <w:left w:w="108" w:type="dxa"/>
            <w:bottom w:w="0" w:type="dxa"/>
            <w:right w:w="108" w:type="dxa"/>
          </w:tblCellMar>
        </w:tblPrEx>
        <w:trPr>
          <w:trHeight w:val="285" w:hRule="atLeast"/>
        </w:trPr>
        <w:tc>
          <w:tcPr>
            <w:tcW w:w="9191" w:type="dxa"/>
            <w:gridSpan w:val="5"/>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Style w:val="11"/>
                <w:lang w:val="en-US" w:eastAsia="zh-CN" w:bidi="ar"/>
              </w:rPr>
              <w:t xml:space="preserve">    c&gt;辖区证券业协会出台自律性佣金标准，按辖区自律佣金标准执行。</w:t>
            </w:r>
          </w:p>
        </w:tc>
      </w:tr>
      <w:tr>
        <w:tblPrEx>
          <w:tblCellMar>
            <w:top w:w="0" w:type="dxa"/>
            <w:left w:w="108" w:type="dxa"/>
            <w:bottom w:w="0" w:type="dxa"/>
            <w:right w:w="108" w:type="dxa"/>
          </w:tblCellMar>
        </w:tblPrEx>
        <w:trPr>
          <w:trHeight w:val="285" w:hRule="atLeast"/>
        </w:trPr>
        <w:tc>
          <w:tcPr>
            <w:tcW w:w="3025"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0"/>
                <w:lang w:val="en-US" w:eastAsia="zh-CN" w:bidi="ar"/>
              </w:rPr>
              <w:t>项目</w:t>
            </w:r>
          </w:p>
        </w:tc>
        <w:tc>
          <w:tcPr>
            <w:tcW w:w="6166"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0"/>
                <w:lang w:val="en-US" w:eastAsia="zh-CN" w:bidi="ar"/>
              </w:rPr>
              <w:t>佣金率（‰）</w:t>
            </w:r>
          </w:p>
        </w:tc>
      </w:tr>
      <w:tr>
        <w:tblPrEx>
          <w:tblCellMar>
            <w:top w:w="0" w:type="dxa"/>
            <w:left w:w="108" w:type="dxa"/>
            <w:bottom w:w="0" w:type="dxa"/>
            <w:right w:w="108" w:type="dxa"/>
          </w:tblCellMar>
        </w:tblPrEx>
        <w:trPr>
          <w:trHeight w:val="285" w:hRule="atLeast"/>
        </w:trPr>
        <w:tc>
          <w:tcPr>
            <w:tcW w:w="3025"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普通客户佣金率</w:t>
            </w:r>
          </w:p>
        </w:tc>
        <w:tc>
          <w:tcPr>
            <w:tcW w:w="6166"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该类客户交易佣金率上限不能高于3.0‰，下限不能低于0.1‰。</w:t>
            </w:r>
          </w:p>
        </w:tc>
      </w:tr>
      <w:tr>
        <w:tblPrEx>
          <w:tblCellMar>
            <w:top w:w="0" w:type="dxa"/>
            <w:left w:w="108" w:type="dxa"/>
            <w:bottom w:w="0" w:type="dxa"/>
            <w:right w:w="108" w:type="dxa"/>
          </w:tblCellMar>
        </w:tblPrEx>
        <w:trPr>
          <w:trHeight w:val="312" w:hRule="atLeast"/>
        </w:trPr>
        <w:tc>
          <w:tcPr>
            <w:tcW w:w="302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kern w:val="0"/>
                <w:sz w:val="18"/>
                <w:szCs w:val="18"/>
              </w:rPr>
            </w:pPr>
          </w:p>
        </w:tc>
        <w:tc>
          <w:tcPr>
            <w:tcW w:w="616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pPr>
            <w:r>
              <w:rPr>
                <w:rStyle w:val="11"/>
                <w:lang w:val="en-US" w:eastAsia="zh-CN" w:bidi="ar"/>
              </w:rPr>
              <w:t>客户佣金率=交易佣金率+综合佣金率。其中，交易佣金率=基础佣金率*客户级别调整系数*交易方式调整系数*客户忠诚度系数。</w:t>
            </w:r>
          </w:p>
        </w:tc>
      </w:tr>
      <w:tr>
        <w:tblPrEx>
          <w:tblCellMar>
            <w:top w:w="0" w:type="dxa"/>
            <w:left w:w="108" w:type="dxa"/>
            <w:bottom w:w="0" w:type="dxa"/>
            <w:right w:w="108" w:type="dxa"/>
          </w:tblCellMar>
        </w:tblPrEx>
        <w:trPr>
          <w:trHeight w:val="312" w:hRule="atLeast"/>
        </w:trPr>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Style w:val="11"/>
                <w:lang w:val="en-US" w:eastAsia="zh-CN" w:bidi="ar"/>
              </w:rPr>
              <w:t>特殊客户佣金率</w:t>
            </w:r>
          </w:p>
        </w:tc>
        <w:tc>
          <w:tcPr>
            <w:tcW w:w="18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1"/>
                <w:lang w:val="en-US" w:eastAsia="zh-CN" w:bidi="ar"/>
              </w:rPr>
              <w:t>线下服务</w:t>
            </w:r>
          </w:p>
        </w:tc>
        <w:tc>
          <w:tcPr>
            <w:tcW w:w="35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1"/>
                <w:lang w:val="en-US" w:eastAsia="zh-CN" w:bidi="ar"/>
              </w:rPr>
              <w:t xml:space="preserve">资产≥ </w:t>
            </w:r>
            <w:r>
              <w:rPr>
                <w:rStyle w:val="12"/>
                <w:rFonts w:eastAsia="宋体"/>
                <w:lang w:val="en-US" w:eastAsia="zh-CN" w:bidi="ar"/>
              </w:rPr>
              <w:t>1000</w:t>
            </w:r>
            <w:r>
              <w:rPr>
                <w:rStyle w:val="11"/>
                <w:lang w:val="en-US" w:eastAsia="zh-CN" w:bidi="ar"/>
              </w:rPr>
              <w:t xml:space="preserve"> 万元 或 月交易量达 </w:t>
            </w:r>
            <w:r>
              <w:rPr>
                <w:rStyle w:val="12"/>
                <w:rFonts w:eastAsia="宋体"/>
                <w:lang w:val="en-US" w:eastAsia="zh-CN" w:bidi="ar"/>
              </w:rPr>
              <w:t>5000</w:t>
            </w:r>
            <w:r>
              <w:rPr>
                <w:rStyle w:val="11"/>
                <w:lang w:val="en-US" w:eastAsia="zh-CN" w:bidi="ar"/>
              </w:rPr>
              <w:t xml:space="preserve"> 万元</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0.18</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1"/>
                <w:lang w:val="en-US" w:eastAsia="zh-CN" w:bidi="ar"/>
              </w:rPr>
              <w:t xml:space="preserve">资产≥ </w:t>
            </w:r>
            <w:r>
              <w:rPr>
                <w:rStyle w:val="12"/>
                <w:rFonts w:eastAsia="宋体"/>
                <w:lang w:val="en-US" w:eastAsia="zh-CN" w:bidi="ar"/>
              </w:rPr>
              <w:t>5000</w:t>
            </w:r>
            <w:r>
              <w:rPr>
                <w:rStyle w:val="11"/>
                <w:lang w:val="en-US" w:eastAsia="zh-CN" w:bidi="ar"/>
              </w:rPr>
              <w:t xml:space="preserve"> 万元 或 月交易量达 </w:t>
            </w:r>
            <w:r>
              <w:rPr>
                <w:rStyle w:val="12"/>
                <w:rFonts w:eastAsia="宋体"/>
                <w:lang w:val="en-US" w:eastAsia="zh-CN" w:bidi="ar"/>
              </w:rPr>
              <w:t>25000</w:t>
            </w:r>
            <w:r>
              <w:rPr>
                <w:rStyle w:val="11"/>
                <w:lang w:val="en-US" w:eastAsia="zh-CN" w:bidi="ar"/>
              </w:rPr>
              <w:t xml:space="preserve"> 万元</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0.14</w:t>
            </w:r>
            <w:r>
              <w:rPr>
                <w:rStyle w:val="11"/>
                <w:lang w:val="en-US" w:eastAsia="zh-CN" w:bidi="ar"/>
              </w:rPr>
              <w:t>‰</w:t>
            </w:r>
          </w:p>
        </w:tc>
      </w:tr>
      <w:tr>
        <w:tblPrEx>
          <w:tblCellMar>
            <w:top w:w="0" w:type="dxa"/>
            <w:left w:w="108" w:type="dxa"/>
            <w:bottom w:w="0" w:type="dxa"/>
            <w:right w:w="108" w:type="dxa"/>
          </w:tblCellMar>
        </w:tblPrEx>
        <w:trPr>
          <w:trHeight w:val="312" w:hRule="atLeast"/>
        </w:trPr>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18"/>
                <w:szCs w:val="18"/>
              </w:rPr>
            </w:pPr>
          </w:p>
        </w:tc>
        <w:tc>
          <w:tcPr>
            <w:tcW w:w="186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5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1"/>
                <w:lang w:val="en-US" w:eastAsia="zh-CN" w:bidi="ar"/>
              </w:rPr>
              <w:t xml:space="preserve">资产≥ </w:t>
            </w:r>
            <w:r>
              <w:rPr>
                <w:rStyle w:val="12"/>
                <w:rFonts w:eastAsia="宋体"/>
                <w:lang w:val="en-US" w:eastAsia="zh-CN" w:bidi="ar"/>
              </w:rPr>
              <w:t>8000</w:t>
            </w:r>
            <w:r>
              <w:rPr>
                <w:rStyle w:val="11"/>
                <w:lang w:val="en-US" w:eastAsia="zh-CN" w:bidi="ar"/>
              </w:rPr>
              <w:t xml:space="preserve"> 万元 或 月交易量达 </w:t>
            </w:r>
            <w:r>
              <w:rPr>
                <w:rStyle w:val="12"/>
                <w:rFonts w:eastAsia="宋体"/>
                <w:lang w:val="en-US" w:eastAsia="zh-CN" w:bidi="ar"/>
              </w:rPr>
              <w:t>40000</w:t>
            </w:r>
            <w:r>
              <w:rPr>
                <w:rStyle w:val="11"/>
                <w:lang w:val="en-US" w:eastAsia="zh-CN" w:bidi="ar"/>
              </w:rPr>
              <w:t xml:space="preserve"> 万元</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2"/>
                <w:rFonts w:eastAsia="宋体"/>
                <w:lang w:val="en-US" w:eastAsia="zh-CN" w:bidi="ar"/>
              </w:rPr>
              <w:t>3.0</w:t>
            </w:r>
            <w:r>
              <w:rPr>
                <w:rStyle w:val="11"/>
                <w:lang w:val="en-US" w:eastAsia="zh-CN" w:bidi="ar"/>
              </w:rPr>
              <w:t xml:space="preserve">‰- </w:t>
            </w:r>
            <w:r>
              <w:rPr>
                <w:rStyle w:val="12"/>
                <w:rFonts w:eastAsia="宋体"/>
                <w:lang w:val="en-US" w:eastAsia="zh-CN" w:bidi="ar"/>
              </w:rPr>
              <w:t>0.12</w:t>
            </w:r>
            <w:r>
              <w:rPr>
                <w:rStyle w:val="11"/>
                <w:lang w:val="en-US" w:eastAsia="zh-CN" w:bidi="ar"/>
              </w:rPr>
              <w:t>‰</w:t>
            </w:r>
          </w:p>
        </w:tc>
      </w:tr>
    </w:tbl>
    <w:p>
      <w:pPr>
        <w:spacing w:before="156" w:beforeLines="50" w:after="156" w:afterLines="50"/>
        <w:ind w:left="1260"/>
        <w:jc w:val="left"/>
        <w:rPr>
          <w:rFonts w:hint="eastAsia" w:ascii="宋体" w:hAnsi="宋体"/>
          <w:b/>
          <w:sz w:val="24"/>
          <w:szCs w:val="28"/>
        </w:rPr>
      </w:pPr>
    </w:p>
    <w:p>
      <w:pPr>
        <w:spacing w:before="156" w:beforeLines="50" w:after="156" w:afterLines="50"/>
        <w:ind w:firstLine="540" w:firstLineChars="224"/>
        <w:jc w:val="left"/>
        <w:rPr>
          <w:rFonts w:ascii="宋体" w:hAnsi="宋体"/>
          <w:b/>
          <w:sz w:val="24"/>
          <w:szCs w:val="28"/>
        </w:rPr>
      </w:pPr>
      <w:r>
        <w:rPr>
          <w:rFonts w:hint="eastAsia" w:ascii="宋体" w:hAnsi="宋体"/>
          <w:b/>
          <w:sz w:val="24"/>
          <w:szCs w:val="28"/>
        </w:rPr>
        <w:t>二、佣金收取方式</w:t>
      </w:r>
    </w:p>
    <w:p>
      <w:pPr>
        <w:spacing w:line="360" w:lineRule="auto"/>
        <w:ind w:firstLine="540" w:firstLineChars="225"/>
        <w:rPr>
          <w:rFonts w:hint="eastAsia" w:ascii="宋体" w:hAnsi="宋体"/>
          <w:sz w:val="24"/>
          <w:szCs w:val="24"/>
        </w:rPr>
      </w:pPr>
      <w:r>
        <w:rPr>
          <w:rFonts w:hint="eastAsia" w:ascii="宋体" w:hAnsi="宋体"/>
          <w:sz w:val="24"/>
          <w:szCs w:val="24"/>
        </w:rPr>
        <w:t>我部按照有关法律、法规、规章、证券登记结算机构业务规则以及证券交易所交易规则的相关规定，直接向客户收取佣金。</w:t>
      </w:r>
    </w:p>
    <w:p>
      <w:pPr>
        <w:spacing w:line="360" w:lineRule="auto"/>
        <w:ind w:firstLine="540" w:firstLineChars="225"/>
        <w:rPr>
          <w:rFonts w:hint="eastAsia" w:ascii="宋体" w:hAnsi="宋体"/>
          <w:sz w:val="24"/>
          <w:szCs w:val="24"/>
        </w:rPr>
      </w:pPr>
      <w:r>
        <w:rPr>
          <w:rFonts w:hint="eastAsia" w:ascii="宋体" w:hAnsi="宋体"/>
          <w:sz w:val="24"/>
          <w:szCs w:val="24"/>
        </w:rPr>
        <w:t>根据法律、法规、规章、业务规则等调整客户佣金收取标准及收取方式，我部将在调整前通过营业部场所张贴、网上交易系统以及电话委托系统明示或提醒、印制相关客户服务手册等方式进行公示。</w:t>
      </w:r>
    </w:p>
    <w:p>
      <w:pPr>
        <w:spacing w:line="360" w:lineRule="auto"/>
        <w:ind w:right="420"/>
        <w:rPr>
          <w:rFonts w:hint="eastAsia"/>
          <w:sz w:val="24"/>
          <w:szCs w:val="24"/>
        </w:rPr>
      </w:pPr>
    </w:p>
    <w:sectPr>
      <w:footerReference r:id="rId3" w:type="default"/>
      <w:pgSz w:w="11906" w:h="16838"/>
      <w:pgMar w:top="1077" w:right="1361" w:bottom="85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140" w:firstLineChars="2300"/>
      <w:rPr>
        <w:rFonts w:hint="eastAsia"/>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17AFD"/>
    <w:multiLevelType w:val="multilevel"/>
    <w:tmpl w:val="19417AFD"/>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MDhhODUwNTM4YmFhMWRmNGRlYTFhNDVhMjQxYTkifQ=="/>
  </w:docVars>
  <w:rsids>
    <w:rsidRoot w:val="00A5226A"/>
    <w:rsid w:val="00003E7B"/>
    <w:rsid w:val="00007422"/>
    <w:rsid w:val="000113A0"/>
    <w:rsid w:val="0001272D"/>
    <w:rsid w:val="00013F51"/>
    <w:rsid w:val="00016DF8"/>
    <w:rsid w:val="00023145"/>
    <w:rsid w:val="0002417A"/>
    <w:rsid w:val="0003044D"/>
    <w:rsid w:val="0003357E"/>
    <w:rsid w:val="000356C7"/>
    <w:rsid w:val="000361A4"/>
    <w:rsid w:val="00037614"/>
    <w:rsid w:val="000409F1"/>
    <w:rsid w:val="000429AA"/>
    <w:rsid w:val="000444BC"/>
    <w:rsid w:val="00046F5B"/>
    <w:rsid w:val="0005036F"/>
    <w:rsid w:val="00050BCD"/>
    <w:rsid w:val="00061453"/>
    <w:rsid w:val="00065535"/>
    <w:rsid w:val="0006611F"/>
    <w:rsid w:val="00066CF9"/>
    <w:rsid w:val="000673DE"/>
    <w:rsid w:val="0006748C"/>
    <w:rsid w:val="000814C1"/>
    <w:rsid w:val="00090D5D"/>
    <w:rsid w:val="0009485D"/>
    <w:rsid w:val="000A0CA2"/>
    <w:rsid w:val="000A30B6"/>
    <w:rsid w:val="000A40A2"/>
    <w:rsid w:val="000A5CD9"/>
    <w:rsid w:val="000B1C89"/>
    <w:rsid w:val="000B3667"/>
    <w:rsid w:val="000B5AE1"/>
    <w:rsid w:val="000B62F1"/>
    <w:rsid w:val="000B6BAA"/>
    <w:rsid w:val="000B6D3D"/>
    <w:rsid w:val="000B77B7"/>
    <w:rsid w:val="000C228C"/>
    <w:rsid w:val="000C255C"/>
    <w:rsid w:val="000C61DA"/>
    <w:rsid w:val="000C7457"/>
    <w:rsid w:val="000D4F94"/>
    <w:rsid w:val="000D7DC8"/>
    <w:rsid w:val="000E386E"/>
    <w:rsid w:val="000E4045"/>
    <w:rsid w:val="000E5192"/>
    <w:rsid w:val="000E7F43"/>
    <w:rsid w:val="000F103D"/>
    <w:rsid w:val="000F2666"/>
    <w:rsid w:val="000F5224"/>
    <w:rsid w:val="000F7946"/>
    <w:rsid w:val="000F7B1B"/>
    <w:rsid w:val="00104EC0"/>
    <w:rsid w:val="00110C47"/>
    <w:rsid w:val="00112DC2"/>
    <w:rsid w:val="001138C3"/>
    <w:rsid w:val="00115923"/>
    <w:rsid w:val="00121759"/>
    <w:rsid w:val="00121DF4"/>
    <w:rsid w:val="001232C2"/>
    <w:rsid w:val="00123DA4"/>
    <w:rsid w:val="00125F2D"/>
    <w:rsid w:val="001333B1"/>
    <w:rsid w:val="00135FE6"/>
    <w:rsid w:val="001379C3"/>
    <w:rsid w:val="00137CC2"/>
    <w:rsid w:val="001434DC"/>
    <w:rsid w:val="00143A10"/>
    <w:rsid w:val="0014626C"/>
    <w:rsid w:val="001532AD"/>
    <w:rsid w:val="00161966"/>
    <w:rsid w:val="0016563F"/>
    <w:rsid w:val="00167321"/>
    <w:rsid w:val="001705C3"/>
    <w:rsid w:val="00171F45"/>
    <w:rsid w:val="001751C9"/>
    <w:rsid w:val="00180405"/>
    <w:rsid w:val="00184FB0"/>
    <w:rsid w:val="001856D8"/>
    <w:rsid w:val="0019085B"/>
    <w:rsid w:val="0019362E"/>
    <w:rsid w:val="00194668"/>
    <w:rsid w:val="001A1B05"/>
    <w:rsid w:val="001A4B0D"/>
    <w:rsid w:val="001B3A7C"/>
    <w:rsid w:val="001C3D02"/>
    <w:rsid w:val="001C3D4E"/>
    <w:rsid w:val="001D491B"/>
    <w:rsid w:val="001D4E0E"/>
    <w:rsid w:val="001D4F71"/>
    <w:rsid w:val="001D5DD0"/>
    <w:rsid w:val="001E077F"/>
    <w:rsid w:val="001E0ABE"/>
    <w:rsid w:val="001F00E7"/>
    <w:rsid w:val="001F1637"/>
    <w:rsid w:val="001F72CA"/>
    <w:rsid w:val="00204B7A"/>
    <w:rsid w:val="00205CF9"/>
    <w:rsid w:val="00210FC8"/>
    <w:rsid w:val="00211DD4"/>
    <w:rsid w:val="00213A0F"/>
    <w:rsid w:val="00213DEA"/>
    <w:rsid w:val="00213F9F"/>
    <w:rsid w:val="00220BC5"/>
    <w:rsid w:val="00221B6C"/>
    <w:rsid w:val="00223D8E"/>
    <w:rsid w:val="00224C17"/>
    <w:rsid w:val="00225F5A"/>
    <w:rsid w:val="00227BD2"/>
    <w:rsid w:val="0023576C"/>
    <w:rsid w:val="002402A3"/>
    <w:rsid w:val="00241264"/>
    <w:rsid w:val="00242184"/>
    <w:rsid w:val="00242B20"/>
    <w:rsid w:val="00242CFF"/>
    <w:rsid w:val="00245445"/>
    <w:rsid w:val="0025006F"/>
    <w:rsid w:val="00252540"/>
    <w:rsid w:val="00253AF8"/>
    <w:rsid w:val="00255321"/>
    <w:rsid w:val="002607E9"/>
    <w:rsid w:val="00261D17"/>
    <w:rsid w:val="0026270B"/>
    <w:rsid w:val="00262D7A"/>
    <w:rsid w:val="00263322"/>
    <w:rsid w:val="00263644"/>
    <w:rsid w:val="0026547D"/>
    <w:rsid w:val="002661FA"/>
    <w:rsid w:val="002722A2"/>
    <w:rsid w:val="002723CB"/>
    <w:rsid w:val="0027245A"/>
    <w:rsid w:val="00276853"/>
    <w:rsid w:val="00282746"/>
    <w:rsid w:val="002845B5"/>
    <w:rsid w:val="00286BE0"/>
    <w:rsid w:val="0029310D"/>
    <w:rsid w:val="00293908"/>
    <w:rsid w:val="002A0D9C"/>
    <w:rsid w:val="002A1819"/>
    <w:rsid w:val="002A6496"/>
    <w:rsid w:val="002A6D75"/>
    <w:rsid w:val="002B0F88"/>
    <w:rsid w:val="002B3E85"/>
    <w:rsid w:val="002B464F"/>
    <w:rsid w:val="002C1027"/>
    <w:rsid w:val="002C7DCC"/>
    <w:rsid w:val="002D31EA"/>
    <w:rsid w:val="002D3971"/>
    <w:rsid w:val="002D5896"/>
    <w:rsid w:val="002E01C3"/>
    <w:rsid w:val="002E1DFA"/>
    <w:rsid w:val="002E60A7"/>
    <w:rsid w:val="002E792E"/>
    <w:rsid w:val="002F106B"/>
    <w:rsid w:val="002F7855"/>
    <w:rsid w:val="00300007"/>
    <w:rsid w:val="00300332"/>
    <w:rsid w:val="003006C1"/>
    <w:rsid w:val="00300F89"/>
    <w:rsid w:val="0030527A"/>
    <w:rsid w:val="00305C16"/>
    <w:rsid w:val="00307465"/>
    <w:rsid w:val="00327151"/>
    <w:rsid w:val="00332AE1"/>
    <w:rsid w:val="00333AF6"/>
    <w:rsid w:val="00334E7A"/>
    <w:rsid w:val="003355D5"/>
    <w:rsid w:val="00360263"/>
    <w:rsid w:val="003604A2"/>
    <w:rsid w:val="003610A6"/>
    <w:rsid w:val="0036168C"/>
    <w:rsid w:val="003678EA"/>
    <w:rsid w:val="00371B6C"/>
    <w:rsid w:val="003731D8"/>
    <w:rsid w:val="003768D7"/>
    <w:rsid w:val="00381CF9"/>
    <w:rsid w:val="003A0C1F"/>
    <w:rsid w:val="003A18C5"/>
    <w:rsid w:val="003A3175"/>
    <w:rsid w:val="003B2A98"/>
    <w:rsid w:val="003B3D9B"/>
    <w:rsid w:val="003B6075"/>
    <w:rsid w:val="003B7906"/>
    <w:rsid w:val="003C06DD"/>
    <w:rsid w:val="003C0C16"/>
    <w:rsid w:val="003C256D"/>
    <w:rsid w:val="003C588F"/>
    <w:rsid w:val="003C6805"/>
    <w:rsid w:val="003C685A"/>
    <w:rsid w:val="003C6F9F"/>
    <w:rsid w:val="003D23E2"/>
    <w:rsid w:val="003D2AF1"/>
    <w:rsid w:val="003D5130"/>
    <w:rsid w:val="003D590F"/>
    <w:rsid w:val="003E0A89"/>
    <w:rsid w:val="003E29FB"/>
    <w:rsid w:val="003E4745"/>
    <w:rsid w:val="003E4F56"/>
    <w:rsid w:val="003E5CB5"/>
    <w:rsid w:val="003F22A5"/>
    <w:rsid w:val="003F44FE"/>
    <w:rsid w:val="003F588D"/>
    <w:rsid w:val="003F5CB0"/>
    <w:rsid w:val="004013A3"/>
    <w:rsid w:val="00401793"/>
    <w:rsid w:val="00404C11"/>
    <w:rsid w:val="00405800"/>
    <w:rsid w:val="00407BC0"/>
    <w:rsid w:val="00413C9E"/>
    <w:rsid w:val="00415E8D"/>
    <w:rsid w:val="0041612A"/>
    <w:rsid w:val="0042580C"/>
    <w:rsid w:val="00427756"/>
    <w:rsid w:val="00427ABD"/>
    <w:rsid w:val="00431921"/>
    <w:rsid w:val="00440712"/>
    <w:rsid w:val="00441B67"/>
    <w:rsid w:val="00441F81"/>
    <w:rsid w:val="0044249B"/>
    <w:rsid w:val="004431CB"/>
    <w:rsid w:val="00443B15"/>
    <w:rsid w:val="00445004"/>
    <w:rsid w:val="00454956"/>
    <w:rsid w:val="00456A8F"/>
    <w:rsid w:val="00457BF9"/>
    <w:rsid w:val="004613AE"/>
    <w:rsid w:val="00466A1E"/>
    <w:rsid w:val="00467E8C"/>
    <w:rsid w:val="00470FC5"/>
    <w:rsid w:val="004779A5"/>
    <w:rsid w:val="0048012D"/>
    <w:rsid w:val="004826B1"/>
    <w:rsid w:val="004836A9"/>
    <w:rsid w:val="0048479B"/>
    <w:rsid w:val="0049034A"/>
    <w:rsid w:val="0049320C"/>
    <w:rsid w:val="004A240E"/>
    <w:rsid w:val="004A5CC0"/>
    <w:rsid w:val="004B1C55"/>
    <w:rsid w:val="004C0D3E"/>
    <w:rsid w:val="004C16E0"/>
    <w:rsid w:val="004C714E"/>
    <w:rsid w:val="004D4403"/>
    <w:rsid w:val="004D6F6A"/>
    <w:rsid w:val="004E212D"/>
    <w:rsid w:val="004E3B5B"/>
    <w:rsid w:val="004E3FF7"/>
    <w:rsid w:val="004E6962"/>
    <w:rsid w:val="004E755E"/>
    <w:rsid w:val="004F038A"/>
    <w:rsid w:val="004F23F2"/>
    <w:rsid w:val="004F2F33"/>
    <w:rsid w:val="004F3024"/>
    <w:rsid w:val="004F448B"/>
    <w:rsid w:val="004F599A"/>
    <w:rsid w:val="004F73AF"/>
    <w:rsid w:val="005003C9"/>
    <w:rsid w:val="005034E8"/>
    <w:rsid w:val="005038D3"/>
    <w:rsid w:val="00505541"/>
    <w:rsid w:val="00506648"/>
    <w:rsid w:val="00510229"/>
    <w:rsid w:val="0051498B"/>
    <w:rsid w:val="00527197"/>
    <w:rsid w:val="005276C5"/>
    <w:rsid w:val="00534E28"/>
    <w:rsid w:val="00534EE9"/>
    <w:rsid w:val="0054178F"/>
    <w:rsid w:val="00541FF2"/>
    <w:rsid w:val="005421BC"/>
    <w:rsid w:val="00543D51"/>
    <w:rsid w:val="00545DC8"/>
    <w:rsid w:val="00547F71"/>
    <w:rsid w:val="0055051F"/>
    <w:rsid w:val="00554D76"/>
    <w:rsid w:val="00562E77"/>
    <w:rsid w:val="00564528"/>
    <w:rsid w:val="0056546F"/>
    <w:rsid w:val="0056587C"/>
    <w:rsid w:val="0056678B"/>
    <w:rsid w:val="00573CFC"/>
    <w:rsid w:val="00573F1E"/>
    <w:rsid w:val="00574E9C"/>
    <w:rsid w:val="005758AA"/>
    <w:rsid w:val="0057590B"/>
    <w:rsid w:val="005A1193"/>
    <w:rsid w:val="005A1BA3"/>
    <w:rsid w:val="005A1BBC"/>
    <w:rsid w:val="005A25E6"/>
    <w:rsid w:val="005A6A76"/>
    <w:rsid w:val="005A79F1"/>
    <w:rsid w:val="005A7E3A"/>
    <w:rsid w:val="005B57AC"/>
    <w:rsid w:val="005B652C"/>
    <w:rsid w:val="005B7560"/>
    <w:rsid w:val="005C2540"/>
    <w:rsid w:val="005C4070"/>
    <w:rsid w:val="005D2872"/>
    <w:rsid w:val="005D5A06"/>
    <w:rsid w:val="005E3C74"/>
    <w:rsid w:val="005E7F56"/>
    <w:rsid w:val="005F033D"/>
    <w:rsid w:val="005F3053"/>
    <w:rsid w:val="005F3D54"/>
    <w:rsid w:val="005F4711"/>
    <w:rsid w:val="005F53AD"/>
    <w:rsid w:val="005F7B5B"/>
    <w:rsid w:val="00602BC5"/>
    <w:rsid w:val="00612276"/>
    <w:rsid w:val="0061250B"/>
    <w:rsid w:val="00613865"/>
    <w:rsid w:val="006143D3"/>
    <w:rsid w:val="00614B92"/>
    <w:rsid w:val="0061587E"/>
    <w:rsid w:val="006171BA"/>
    <w:rsid w:val="00621501"/>
    <w:rsid w:val="006219E7"/>
    <w:rsid w:val="006270B4"/>
    <w:rsid w:val="0063040E"/>
    <w:rsid w:val="00630C87"/>
    <w:rsid w:val="006313B8"/>
    <w:rsid w:val="00635BF9"/>
    <w:rsid w:val="006407E3"/>
    <w:rsid w:val="00643C67"/>
    <w:rsid w:val="006446A1"/>
    <w:rsid w:val="00644ED9"/>
    <w:rsid w:val="00652EF8"/>
    <w:rsid w:val="00654B7F"/>
    <w:rsid w:val="00656DD6"/>
    <w:rsid w:val="00657B6D"/>
    <w:rsid w:val="0066489C"/>
    <w:rsid w:val="00667389"/>
    <w:rsid w:val="006758A5"/>
    <w:rsid w:val="0067645E"/>
    <w:rsid w:val="006A45D7"/>
    <w:rsid w:val="006A590E"/>
    <w:rsid w:val="006A7846"/>
    <w:rsid w:val="006B0262"/>
    <w:rsid w:val="006B65C2"/>
    <w:rsid w:val="006B7289"/>
    <w:rsid w:val="006C4B54"/>
    <w:rsid w:val="006D03DF"/>
    <w:rsid w:val="006D0745"/>
    <w:rsid w:val="006D4A96"/>
    <w:rsid w:val="006E24BA"/>
    <w:rsid w:val="006E45E9"/>
    <w:rsid w:val="006E5CE7"/>
    <w:rsid w:val="006F1470"/>
    <w:rsid w:val="006F3652"/>
    <w:rsid w:val="006F48F9"/>
    <w:rsid w:val="006F7112"/>
    <w:rsid w:val="00704822"/>
    <w:rsid w:val="00712D18"/>
    <w:rsid w:val="00715332"/>
    <w:rsid w:val="00717ABB"/>
    <w:rsid w:val="00721974"/>
    <w:rsid w:val="00724BA9"/>
    <w:rsid w:val="007254E9"/>
    <w:rsid w:val="00726302"/>
    <w:rsid w:val="0073195C"/>
    <w:rsid w:val="00732171"/>
    <w:rsid w:val="0074102B"/>
    <w:rsid w:val="007420C0"/>
    <w:rsid w:val="00742824"/>
    <w:rsid w:val="00745146"/>
    <w:rsid w:val="007505F4"/>
    <w:rsid w:val="0075261A"/>
    <w:rsid w:val="00753860"/>
    <w:rsid w:val="00761D90"/>
    <w:rsid w:val="00766BFA"/>
    <w:rsid w:val="0077110D"/>
    <w:rsid w:val="00772B14"/>
    <w:rsid w:val="00772D63"/>
    <w:rsid w:val="00775B61"/>
    <w:rsid w:val="00781A6B"/>
    <w:rsid w:val="0078775F"/>
    <w:rsid w:val="00791D2F"/>
    <w:rsid w:val="0079326E"/>
    <w:rsid w:val="00794220"/>
    <w:rsid w:val="00794585"/>
    <w:rsid w:val="007A39E3"/>
    <w:rsid w:val="007A4009"/>
    <w:rsid w:val="007A6BF4"/>
    <w:rsid w:val="007A755B"/>
    <w:rsid w:val="007B6A02"/>
    <w:rsid w:val="007B725F"/>
    <w:rsid w:val="007C0CF1"/>
    <w:rsid w:val="007C1B35"/>
    <w:rsid w:val="007C2442"/>
    <w:rsid w:val="007C2CB3"/>
    <w:rsid w:val="007C5158"/>
    <w:rsid w:val="007D19C3"/>
    <w:rsid w:val="007D4294"/>
    <w:rsid w:val="007D5862"/>
    <w:rsid w:val="007D631E"/>
    <w:rsid w:val="007E36E5"/>
    <w:rsid w:val="007E6308"/>
    <w:rsid w:val="007E762E"/>
    <w:rsid w:val="007F2BC5"/>
    <w:rsid w:val="007F5912"/>
    <w:rsid w:val="00803F32"/>
    <w:rsid w:val="00806475"/>
    <w:rsid w:val="00811863"/>
    <w:rsid w:val="00812A05"/>
    <w:rsid w:val="00815229"/>
    <w:rsid w:val="00816989"/>
    <w:rsid w:val="008179C2"/>
    <w:rsid w:val="008204DA"/>
    <w:rsid w:val="008211E3"/>
    <w:rsid w:val="008238EA"/>
    <w:rsid w:val="008244D3"/>
    <w:rsid w:val="00825332"/>
    <w:rsid w:val="00830B95"/>
    <w:rsid w:val="00830CF5"/>
    <w:rsid w:val="00835080"/>
    <w:rsid w:val="00842DF2"/>
    <w:rsid w:val="00843032"/>
    <w:rsid w:val="0084539B"/>
    <w:rsid w:val="00850154"/>
    <w:rsid w:val="008503B1"/>
    <w:rsid w:val="00850A86"/>
    <w:rsid w:val="008523BC"/>
    <w:rsid w:val="00853ADC"/>
    <w:rsid w:val="00853B64"/>
    <w:rsid w:val="00853EE8"/>
    <w:rsid w:val="008546DC"/>
    <w:rsid w:val="00855EF3"/>
    <w:rsid w:val="00856718"/>
    <w:rsid w:val="00856AE3"/>
    <w:rsid w:val="00860131"/>
    <w:rsid w:val="0086042E"/>
    <w:rsid w:val="00865BF3"/>
    <w:rsid w:val="00874536"/>
    <w:rsid w:val="008745F4"/>
    <w:rsid w:val="0087567E"/>
    <w:rsid w:val="0088195B"/>
    <w:rsid w:val="00882693"/>
    <w:rsid w:val="00883873"/>
    <w:rsid w:val="00884975"/>
    <w:rsid w:val="00890D34"/>
    <w:rsid w:val="0089244B"/>
    <w:rsid w:val="00895AE1"/>
    <w:rsid w:val="008A038C"/>
    <w:rsid w:val="008A3FA5"/>
    <w:rsid w:val="008A6F68"/>
    <w:rsid w:val="008B5366"/>
    <w:rsid w:val="008B795F"/>
    <w:rsid w:val="008B7B45"/>
    <w:rsid w:val="008C0D53"/>
    <w:rsid w:val="008C276D"/>
    <w:rsid w:val="008C3A23"/>
    <w:rsid w:val="008C7D52"/>
    <w:rsid w:val="008D1282"/>
    <w:rsid w:val="008D31F4"/>
    <w:rsid w:val="008E0864"/>
    <w:rsid w:val="008E1093"/>
    <w:rsid w:val="008E50A5"/>
    <w:rsid w:val="008E6058"/>
    <w:rsid w:val="008F0AAA"/>
    <w:rsid w:val="008F59A4"/>
    <w:rsid w:val="008F6BB9"/>
    <w:rsid w:val="0090069F"/>
    <w:rsid w:val="00903ED7"/>
    <w:rsid w:val="00904F60"/>
    <w:rsid w:val="0090799B"/>
    <w:rsid w:val="00907B20"/>
    <w:rsid w:val="00910E10"/>
    <w:rsid w:val="00910F78"/>
    <w:rsid w:val="00914F56"/>
    <w:rsid w:val="00915CBC"/>
    <w:rsid w:val="00920CD8"/>
    <w:rsid w:val="009232A9"/>
    <w:rsid w:val="00931D91"/>
    <w:rsid w:val="009328AA"/>
    <w:rsid w:val="00932B69"/>
    <w:rsid w:val="009352BE"/>
    <w:rsid w:val="00935C65"/>
    <w:rsid w:val="0093713A"/>
    <w:rsid w:val="00940124"/>
    <w:rsid w:val="00942304"/>
    <w:rsid w:val="00942A97"/>
    <w:rsid w:val="00943DA2"/>
    <w:rsid w:val="00950E4E"/>
    <w:rsid w:val="00953450"/>
    <w:rsid w:val="00963D8D"/>
    <w:rsid w:val="00971256"/>
    <w:rsid w:val="0097713E"/>
    <w:rsid w:val="00981C67"/>
    <w:rsid w:val="00982947"/>
    <w:rsid w:val="00983785"/>
    <w:rsid w:val="00984FB4"/>
    <w:rsid w:val="00991374"/>
    <w:rsid w:val="009915DC"/>
    <w:rsid w:val="009958B9"/>
    <w:rsid w:val="009975FD"/>
    <w:rsid w:val="009A3AC9"/>
    <w:rsid w:val="009A6118"/>
    <w:rsid w:val="009B4609"/>
    <w:rsid w:val="009B4640"/>
    <w:rsid w:val="009B5988"/>
    <w:rsid w:val="009C3C9F"/>
    <w:rsid w:val="009C3DFA"/>
    <w:rsid w:val="009C5A89"/>
    <w:rsid w:val="009D0432"/>
    <w:rsid w:val="009D6A1F"/>
    <w:rsid w:val="009D6BFA"/>
    <w:rsid w:val="009D7296"/>
    <w:rsid w:val="009E0705"/>
    <w:rsid w:val="009E3019"/>
    <w:rsid w:val="009E39ED"/>
    <w:rsid w:val="009F3FF7"/>
    <w:rsid w:val="009F7F04"/>
    <w:rsid w:val="00A04CCB"/>
    <w:rsid w:val="00A10518"/>
    <w:rsid w:val="00A13AC4"/>
    <w:rsid w:val="00A16EA7"/>
    <w:rsid w:val="00A228E4"/>
    <w:rsid w:val="00A22B2A"/>
    <w:rsid w:val="00A32A9B"/>
    <w:rsid w:val="00A33852"/>
    <w:rsid w:val="00A372D4"/>
    <w:rsid w:val="00A40079"/>
    <w:rsid w:val="00A4141D"/>
    <w:rsid w:val="00A45773"/>
    <w:rsid w:val="00A5226A"/>
    <w:rsid w:val="00A523C4"/>
    <w:rsid w:val="00A53D3B"/>
    <w:rsid w:val="00A54237"/>
    <w:rsid w:val="00A60F5D"/>
    <w:rsid w:val="00A61D07"/>
    <w:rsid w:val="00A72AA2"/>
    <w:rsid w:val="00A74D2B"/>
    <w:rsid w:val="00A80F47"/>
    <w:rsid w:val="00A8151F"/>
    <w:rsid w:val="00A816AE"/>
    <w:rsid w:val="00A8481D"/>
    <w:rsid w:val="00A92FA9"/>
    <w:rsid w:val="00A95AF0"/>
    <w:rsid w:val="00A96777"/>
    <w:rsid w:val="00AA0F2E"/>
    <w:rsid w:val="00AA6633"/>
    <w:rsid w:val="00AA6F59"/>
    <w:rsid w:val="00AB16D7"/>
    <w:rsid w:val="00AB2427"/>
    <w:rsid w:val="00AB42A9"/>
    <w:rsid w:val="00AB4CCB"/>
    <w:rsid w:val="00AC5B17"/>
    <w:rsid w:val="00AD0A67"/>
    <w:rsid w:val="00AD2BD8"/>
    <w:rsid w:val="00AF322E"/>
    <w:rsid w:val="00AF53A5"/>
    <w:rsid w:val="00B0143D"/>
    <w:rsid w:val="00B01A2A"/>
    <w:rsid w:val="00B03E94"/>
    <w:rsid w:val="00B0633D"/>
    <w:rsid w:val="00B075F8"/>
    <w:rsid w:val="00B141B5"/>
    <w:rsid w:val="00B15D21"/>
    <w:rsid w:val="00B22EA1"/>
    <w:rsid w:val="00B25388"/>
    <w:rsid w:val="00B27240"/>
    <w:rsid w:val="00B279D7"/>
    <w:rsid w:val="00B30F74"/>
    <w:rsid w:val="00B32289"/>
    <w:rsid w:val="00B34871"/>
    <w:rsid w:val="00B37B78"/>
    <w:rsid w:val="00B40088"/>
    <w:rsid w:val="00B41BB7"/>
    <w:rsid w:val="00B421D2"/>
    <w:rsid w:val="00B430E3"/>
    <w:rsid w:val="00B45640"/>
    <w:rsid w:val="00B463AD"/>
    <w:rsid w:val="00B53356"/>
    <w:rsid w:val="00B56962"/>
    <w:rsid w:val="00B576D2"/>
    <w:rsid w:val="00B576EB"/>
    <w:rsid w:val="00B6055A"/>
    <w:rsid w:val="00B641A9"/>
    <w:rsid w:val="00B646D4"/>
    <w:rsid w:val="00B64DF5"/>
    <w:rsid w:val="00B67111"/>
    <w:rsid w:val="00B749F0"/>
    <w:rsid w:val="00B752AB"/>
    <w:rsid w:val="00B77863"/>
    <w:rsid w:val="00B81F40"/>
    <w:rsid w:val="00B82849"/>
    <w:rsid w:val="00B83E39"/>
    <w:rsid w:val="00B907C0"/>
    <w:rsid w:val="00B96557"/>
    <w:rsid w:val="00BA2015"/>
    <w:rsid w:val="00BA2591"/>
    <w:rsid w:val="00BA44B9"/>
    <w:rsid w:val="00BA62F5"/>
    <w:rsid w:val="00BB7EF6"/>
    <w:rsid w:val="00BC21B5"/>
    <w:rsid w:val="00BC2330"/>
    <w:rsid w:val="00BD4358"/>
    <w:rsid w:val="00BD6E6F"/>
    <w:rsid w:val="00BE06B6"/>
    <w:rsid w:val="00BE210E"/>
    <w:rsid w:val="00BE22C7"/>
    <w:rsid w:val="00BE6564"/>
    <w:rsid w:val="00BF5739"/>
    <w:rsid w:val="00BF59D1"/>
    <w:rsid w:val="00BF7A73"/>
    <w:rsid w:val="00C031C5"/>
    <w:rsid w:val="00C06FC7"/>
    <w:rsid w:val="00C07EAE"/>
    <w:rsid w:val="00C165BD"/>
    <w:rsid w:val="00C2013C"/>
    <w:rsid w:val="00C20437"/>
    <w:rsid w:val="00C21A0D"/>
    <w:rsid w:val="00C21D61"/>
    <w:rsid w:val="00C23C30"/>
    <w:rsid w:val="00C25C16"/>
    <w:rsid w:val="00C3069B"/>
    <w:rsid w:val="00C316F9"/>
    <w:rsid w:val="00C350AF"/>
    <w:rsid w:val="00C35C4E"/>
    <w:rsid w:val="00C41127"/>
    <w:rsid w:val="00C42A3A"/>
    <w:rsid w:val="00C44679"/>
    <w:rsid w:val="00C545C8"/>
    <w:rsid w:val="00C5543B"/>
    <w:rsid w:val="00C57CBF"/>
    <w:rsid w:val="00C6352E"/>
    <w:rsid w:val="00C6504E"/>
    <w:rsid w:val="00C66F48"/>
    <w:rsid w:val="00C84868"/>
    <w:rsid w:val="00CA3361"/>
    <w:rsid w:val="00CA3BE7"/>
    <w:rsid w:val="00CB18F2"/>
    <w:rsid w:val="00CB2DFC"/>
    <w:rsid w:val="00CB333E"/>
    <w:rsid w:val="00CB4139"/>
    <w:rsid w:val="00CB70BB"/>
    <w:rsid w:val="00CC0B92"/>
    <w:rsid w:val="00CC0DEE"/>
    <w:rsid w:val="00CC4F59"/>
    <w:rsid w:val="00CC5680"/>
    <w:rsid w:val="00CC634D"/>
    <w:rsid w:val="00CE0354"/>
    <w:rsid w:val="00CE38BA"/>
    <w:rsid w:val="00CE4945"/>
    <w:rsid w:val="00CE74CF"/>
    <w:rsid w:val="00CF1356"/>
    <w:rsid w:val="00CF7FBD"/>
    <w:rsid w:val="00D026E7"/>
    <w:rsid w:val="00D028B7"/>
    <w:rsid w:val="00D10212"/>
    <w:rsid w:val="00D10AA0"/>
    <w:rsid w:val="00D1478B"/>
    <w:rsid w:val="00D17AC7"/>
    <w:rsid w:val="00D21054"/>
    <w:rsid w:val="00D25772"/>
    <w:rsid w:val="00D264CE"/>
    <w:rsid w:val="00D31494"/>
    <w:rsid w:val="00D32C47"/>
    <w:rsid w:val="00D33ECD"/>
    <w:rsid w:val="00D369E1"/>
    <w:rsid w:val="00D4753E"/>
    <w:rsid w:val="00D47B80"/>
    <w:rsid w:val="00D47FA2"/>
    <w:rsid w:val="00D5086B"/>
    <w:rsid w:val="00D515CD"/>
    <w:rsid w:val="00D542F3"/>
    <w:rsid w:val="00D5597E"/>
    <w:rsid w:val="00D56636"/>
    <w:rsid w:val="00D65008"/>
    <w:rsid w:val="00D731A8"/>
    <w:rsid w:val="00D73554"/>
    <w:rsid w:val="00D736E9"/>
    <w:rsid w:val="00D73875"/>
    <w:rsid w:val="00D7667E"/>
    <w:rsid w:val="00D80579"/>
    <w:rsid w:val="00D85B26"/>
    <w:rsid w:val="00D8655B"/>
    <w:rsid w:val="00D94E8C"/>
    <w:rsid w:val="00D952FF"/>
    <w:rsid w:val="00DA0349"/>
    <w:rsid w:val="00DA2660"/>
    <w:rsid w:val="00DA39B5"/>
    <w:rsid w:val="00DA46CB"/>
    <w:rsid w:val="00DA7335"/>
    <w:rsid w:val="00DB0EB3"/>
    <w:rsid w:val="00DB39F5"/>
    <w:rsid w:val="00DC17C2"/>
    <w:rsid w:val="00DD3441"/>
    <w:rsid w:val="00DD376A"/>
    <w:rsid w:val="00DD40EF"/>
    <w:rsid w:val="00DD59D0"/>
    <w:rsid w:val="00DE3144"/>
    <w:rsid w:val="00DF2A7C"/>
    <w:rsid w:val="00DF2D9B"/>
    <w:rsid w:val="00DF357D"/>
    <w:rsid w:val="00E01870"/>
    <w:rsid w:val="00E028E2"/>
    <w:rsid w:val="00E0661C"/>
    <w:rsid w:val="00E06EF9"/>
    <w:rsid w:val="00E11646"/>
    <w:rsid w:val="00E11788"/>
    <w:rsid w:val="00E13AE8"/>
    <w:rsid w:val="00E1560F"/>
    <w:rsid w:val="00E2103A"/>
    <w:rsid w:val="00E24976"/>
    <w:rsid w:val="00E27A9C"/>
    <w:rsid w:val="00E304B0"/>
    <w:rsid w:val="00E339BD"/>
    <w:rsid w:val="00E428B3"/>
    <w:rsid w:val="00E464A9"/>
    <w:rsid w:val="00E473E2"/>
    <w:rsid w:val="00E51E46"/>
    <w:rsid w:val="00E52069"/>
    <w:rsid w:val="00E605ED"/>
    <w:rsid w:val="00E60958"/>
    <w:rsid w:val="00E61E01"/>
    <w:rsid w:val="00E640ED"/>
    <w:rsid w:val="00E64A21"/>
    <w:rsid w:val="00E71AF8"/>
    <w:rsid w:val="00E7275D"/>
    <w:rsid w:val="00E76463"/>
    <w:rsid w:val="00E833DB"/>
    <w:rsid w:val="00E90E11"/>
    <w:rsid w:val="00E930AF"/>
    <w:rsid w:val="00EA1025"/>
    <w:rsid w:val="00EA25EC"/>
    <w:rsid w:val="00EB03FD"/>
    <w:rsid w:val="00EB1940"/>
    <w:rsid w:val="00EB216D"/>
    <w:rsid w:val="00EB3EC9"/>
    <w:rsid w:val="00EB7209"/>
    <w:rsid w:val="00EC12A7"/>
    <w:rsid w:val="00EC167D"/>
    <w:rsid w:val="00EC2572"/>
    <w:rsid w:val="00EC2DDE"/>
    <w:rsid w:val="00EC5E39"/>
    <w:rsid w:val="00EC73E3"/>
    <w:rsid w:val="00EC7762"/>
    <w:rsid w:val="00ED32F6"/>
    <w:rsid w:val="00ED4D63"/>
    <w:rsid w:val="00ED75C2"/>
    <w:rsid w:val="00EE4C75"/>
    <w:rsid w:val="00EF2950"/>
    <w:rsid w:val="00EF7795"/>
    <w:rsid w:val="00EF7A23"/>
    <w:rsid w:val="00F059CB"/>
    <w:rsid w:val="00F07E88"/>
    <w:rsid w:val="00F10E83"/>
    <w:rsid w:val="00F14839"/>
    <w:rsid w:val="00F14ACD"/>
    <w:rsid w:val="00F1666A"/>
    <w:rsid w:val="00F23B6E"/>
    <w:rsid w:val="00F23D13"/>
    <w:rsid w:val="00F23E37"/>
    <w:rsid w:val="00F26361"/>
    <w:rsid w:val="00F3102C"/>
    <w:rsid w:val="00F314D2"/>
    <w:rsid w:val="00F355ED"/>
    <w:rsid w:val="00F3764C"/>
    <w:rsid w:val="00F40253"/>
    <w:rsid w:val="00F408E0"/>
    <w:rsid w:val="00F42CD6"/>
    <w:rsid w:val="00F54A51"/>
    <w:rsid w:val="00F6018D"/>
    <w:rsid w:val="00F612A9"/>
    <w:rsid w:val="00F631EE"/>
    <w:rsid w:val="00F63CDA"/>
    <w:rsid w:val="00F67213"/>
    <w:rsid w:val="00F80667"/>
    <w:rsid w:val="00F83250"/>
    <w:rsid w:val="00F966A7"/>
    <w:rsid w:val="00F9693B"/>
    <w:rsid w:val="00FA4C75"/>
    <w:rsid w:val="00FA4F32"/>
    <w:rsid w:val="00FA5923"/>
    <w:rsid w:val="00FB0F83"/>
    <w:rsid w:val="00FB430A"/>
    <w:rsid w:val="00FC2B56"/>
    <w:rsid w:val="00FC4F9F"/>
    <w:rsid w:val="00FD1B8A"/>
    <w:rsid w:val="00FF0C1F"/>
    <w:rsid w:val="00FF4080"/>
    <w:rsid w:val="00FF67A2"/>
    <w:rsid w:val="09F064C6"/>
    <w:rsid w:val="0CE76F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snapToGrid w:val="0"/>
      <w:jc w:val="left"/>
    </w:pPr>
    <w:rPr>
      <w:sz w:val="18"/>
      <w:szCs w:val="18"/>
    </w:rPr>
  </w:style>
  <w:style w:type="character" w:styleId="7">
    <w:name w:val="page number"/>
    <w:basedOn w:val="6"/>
    <w:uiPriority w:val="0"/>
  </w:style>
  <w:style w:type="character" w:styleId="8">
    <w:name w:val="footnote reference"/>
    <w:semiHidden/>
    <w:uiPriority w:val="0"/>
    <w:rPr>
      <w:vertAlign w:val="superscript"/>
    </w:rPr>
  </w:style>
  <w:style w:type="paragraph" w:customStyle="1" w:styleId="9">
    <w:name w:val="Char Char Char Char Char Char Char Char Char"/>
    <w:basedOn w:val="1"/>
    <w:uiPriority w:val="0"/>
    <w:pPr>
      <w:tabs>
        <w:tab w:val="left" w:pos="360"/>
      </w:tabs>
    </w:pPr>
    <w:rPr>
      <w:rFonts w:ascii="Times New Roman" w:hAnsi="Times New Roman"/>
      <w:sz w:val="24"/>
      <w:szCs w:val="24"/>
    </w:rPr>
  </w:style>
  <w:style w:type="character" w:customStyle="1" w:styleId="10">
    <w:name w:val="font11"/>
    <w:basedOn w:val="6"/>
    <w:uiPriority w:val="0"/>
    <w:rPr>
      <w:rFonts w:hint="eastAsia" w:ascii="宋体" w:hAnsi="宋体" w:eastAsia="宋体" w:cs="宋体"/>
      <w:b/>
      <w:bCs/>
      <w:color w:val="000000"/>
      <w:sz w:val="18"/>
      <w:szCs w:val="18"/>
      <w:u w:val="none"/>
    </w:rPr>
  </w:style>
  <w:style w:type="character" w:customStyle="1" w:styleId="11">
    <w:name w:val="font21"/>
    <w:basedOn w:val="6"/>
    <w:uiPriority w:val="0"/>
    <w:rPr>
      <w:rFonts w:hint="eastAsia" w:ascii="宋体" w:hAnsi="宋体" w:eastAsia="宋体" w:cs="宋体"/>
      <w:color w:val="000000"/>
      <w:sz w:val="18"/>
      <w:szCs w:val="18"/>
      <w:u w:val="none"/>
    </w:rPr>
  </w:style>
  <w:style w:type="character" w:customStyle="1" w:styleId="12">
    <w:name w:val="font41"/>
    <w:basedOn w:val="6"/>
    <w:uiPriority w:val="0"/>
    <w:rPr>
      <w:rFonts w:hint="default" w:ascii="Times New Roman" w:hAnsi="Times New Roman" w:cs="Times New Roman"/>
      <w:color w:val="000000"/>
      <w:sz w:val="18"/>
      <w:szCs w:val="18"/>
      <w:u w:val="none"/>
    </w:rPr>
  </w:style>
  <w:style w:type="character" w:customStyle="1" w:styleId="13">
    <w:name w:val="font3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HTSEC</Company>
  <Pages>2</Pages>
  <Words>279</Words>
  <Characters>1596</Characters>
  <Lines>13</Lines>
  <Paragraphs>3</Paragraphs>
  <TotalTime>0</TotalTime>
  <ScaleCrop>false</ScaleCrop>
  <LinksUpToDate>false</LinksUpToDate>
  <CharactersWithSpaces>1872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2020-06-29T03:22:00Z</dcterms:created>
  <dc:creator>马惠颖</dc:creator>
  <cp:lastModifiedBy>User</cp:lastModifiedBy>
  <cp:lastPrinted>2016-05-23T09:58:00Z</cp:lastPrinted>
  <dcterms:modified xsi:type="dcterms:W3CDTF">2023-10-10T08:02:09Z</dcterms:modified>
  <dc:title>附件五：上海种德桥路证券营业部交易佣金、服务费用收取标准及收取方式告知确认书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F9B29D7B66F543DA9429F514ABCFAEEC</vt:lpwstr>
  </property>
</Properties>
</file>