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ind w:left="2232" w:right="0" w:firstLine="0"/>
        <w:jc w:val="left"/>
        <w:rPr>
          <w:rFonts w:hint="eastAsia" w:ascii="华文中宋" w:eastAsia="华文中宋"/>
          <w:sz w:val="44"/>
        </w:rPr>
      </w:pPr>
      <w:r>
        <w:rPr>
          <w:rFonts w:hint="eastAsia" w:ascii="华文中宋" w:eastAsia="华文中宋"/>
          <w:sz w:val="44"/>
        </w:rPr>
        <w:t>证券交易佣金收取标准公示</w:t>
      </w:r>
    </w:p>
    <w:p>
      <w:pPr>
        <w:pStyle w:val="2"/>
        <w:spacing w:before="15"/>
        <w:rPr>
          <w:rFonts w:ascii="华文中宋"/>
          <w:sz w:val="37"/>
        </w:rPr>
      </w:pPr>
    </w:p>
    <w:p>
      <w:pPr>
        <w:pStyle w:val="3"/>
        <w:keepNext w:val="0"/>
        <w:keepLines w:val="0"/>
        <w:widowControl/>
        <w:suppressLineNumbers w:val="0"/>
        <w:spacing w:before="75" w:beforeAutospacing="0" w:after="75" w:afterAutospacing="0"/>
        <w:ind w:left="72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尊敬的投资者：</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根据证券监管机构关于投资者服务和佣金管理的有关 </w:t>
      </w:r>
      <w:r>
        <w:rPr>
          <w:rFonts w:hint="eastAsia" w:ascii="仿宋" w:hAnsi="仿宋" w:eastAsia="仿宋" w:cs="仿宋"/>
          <w:i w:val="0"/>
          <w:iCs w:val="0"/>
          <w:caps w:val="0"/>
          <w:color w:val="000000"/>
          <w:spacing w:val="0"/>
          <w:sz w:val="31"/>
          <w:szCs w:val="31"/>
        </w:rPr>
        <w:t>规定，现将公司证券交易佣金收费标准及交易所证券登记结算业务收费及代收税费告知如下：</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一、近期税费政策</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1.经手费及佣金下调：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2.印花税下调：根据财政部、税务总局公告，自2023年8月28日起，证券交易印花税实施减半征收。我公司将同步按上述标准执行。</w:t>
      </w:r>
      <w:r>
        <w:rPr>
          <w:rFonts w:ascii="黑体" w:hAnsi="宋体" w:eastAsia="黑体" w:cs="黑体"/>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 </w:t>
      </w:r>
    </w:p>
    <w:p>
      <w:pPr>
        <w:pStyle w:val="3"/>
        <w:keepNext w:val="0"/>
        <w:keepLines w:val="0"/>
        <w:widowControl/>
        <w:suppressLineNumbers w:val="0"/>
        <w:spacing w:before="75" w:beforeAutospacing="0" w:after="75" w:afterAutospacing="0" w:line="405" w:lineRule="atLeast"/>
        <w:ind w:left="1335" w:right="1335"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二、海通证券股份有限公司证券交易佣金收取标准</w:t>
      </w:r>
    </w:p>
    <w:p>
      <w:pPr>
        <w:pStyle w:val="3"/>
        <w:keepNext w:val="0"/>
        <w:keepLines w:val="0"/>
        <w:widowControl/>
        <w:suppressLineNumbers w:val="0"/>
        <w:spacing w:before="75" w:beforeAutospacing="0" w:after="75" w:afterAutospacing="0" w:line="405" w:lineRule="atLeast"/>
        <w:ind w:left="1335" w:right="1335"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807"/>
        <w:gridCol w:w="6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sans-serif" w:hAnsi="sans-serif" w:eastAsia="sans-serif" w:cs="sans-serif"/>
                <w:i w:val="0"/>
                <w:iCs w:val="0"/>
                <w:caps w:val="0"/>
                <w:color w:val="000000"/>
                <w:spacing w:val="0"/>
                <w:sz w:val="24"/>
                <w:szCs w:val="24"/>
              </w:rPr>
              <w:t>业务类别</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sans-serif" w:hAnsi="sans-serif" w:eastAsia="sans-serif" w:cs="sans-serif"/>
                <w:i w:val="0"/>
                <w:iCs w:val="0"/>
                <w:caps w:val="0"/>
                <w:color w:val="000000"/>
                <w:spacing w:val="0"/>
                <w:sz w:val="24"/>
                <w:szCs w:val="24"/>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A 股、优先股</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B 股</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0.3%，起点 1 美元（沪市）或 5 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新三板、北交所</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两网及退市股份</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港股通</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参照 A 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证券投资基金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（封闭式基金、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ETF、LOF 基金）</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开放式基金申购、赎回</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ETF 申购、赎回</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不超过申购、赎回份额的 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ETF 期权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每张合约不超过 10.1 元/张，卖出开仓（含备兑开仓）暂不收取佣金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债券(国债、企业债、公司债、资产支持证券等)</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沪市：不超过成交金额的 0.02%，起点 1 元； 深市：不超过成交金额的 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可转换公司债券、分离交易可转换 公司债券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沪市：不超过成交金额的 0.02%，起点 1 元； 深市：不超过成交金额的 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可交债换股</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债券质押式回购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1 天期正、逆回购按不超过成交价额的 0.001%收取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2 天期正、逆回购按不超过成交价额的 0.002%收取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3 天期正、逆回购按不超过成交价额的 0.003%收取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4 天期正、逆回购按不超过成交价额的 0.004%收取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7 天期正、逆回购按不超过成交价额的 0.005%收取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14 天期正、逆回购按不超过成交价额的 0.01%收取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28 天期正、逆回购按不超过成交价额的 0.02%收取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91 天期正、逆回购按不超过成交价额的 0.03%收取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182 天期正、逆回购按不超过成交价额的 0.03%收取</w:t>
            </w:r>
          </w:p>
        </w:tc>
      </w:tr>
    </w:tbl>
    <w:p>
      <w:pPr>
        <w:pStyle w:val="3"/>
        <w:keepNext w:val="0"/>
        <w:keepLines w:val="0"/>
        <w:widowControl/>
        <w:suppressLineNumbers w:val="0"/>
        <w:spacing w:before="0" w:beforeAutospacing="0" w:after="75" w:afterAutospacing="0"/>
        <w:ind w:left="0" w:right="0" w:firstLine="0"/>
        <w:jc w:val="left"/>
        <w:rPr>
          <w:rFonts w:hint="default" w:ascii="sans-serif" w:hAnsi="sans-serif" w:eastAsia="sans-serif" w:cs="sans-serif"/>
          <w:i w:val="0"/>
          <w:iCs w:val="0"/>
          <w:caps w:val="0"/>
          <w:color w:val="000000"/>
          <w:spacing w:val="0"/>
          <w:sz w:val="24"/>
          <w:szCs w:val="24"/>
        </w:rPr>
      </w:pPr>
    </w:p>
    <w:p>
      <w:pPr>
        <w:pStyle w:val="3"/>
        <w:keepNext w:val="0"/>
        <w:keepLines w:val="0"/>
        <w:widowControl/>
        <w:suppressLineNumbers w:val="0"/>
        <w:spacing w:before="60" w:beforeAutospacing="0" w:after="75" w:afterAutospacing="0"/>
        <w:ind w:left="1365"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br w:type="textWrapping"/>
      </w:r>
      <w:r>
        <w:rPr>
          <w:rFonts w:hint="eastAsia" w:ascii="仿宋" w:hAnsi="仿宋" w:eastAsia="仿宋" w:cs="仿宋"/>
          <w:i w:val="0"/>
          <w:iCs w:val="0"/>
          <w:caps w:val="0"/>
          <w:color w:val="000000"/>
          <w:spacing w:val="0"/>
          <w:sz w:val="31"/>
          <w:szCs w:val="31"/>
        </w:rPr>
        <w:t>重要提示：</w:t>
      </w:r>
    </w:p>
    <w:p>
      <w:pPr>
        <w:pStyle w:val="3"/>
        <w:keepNext w:val="0"/>
        <w:keepLines w:val="0"/>
        <w:widowControl/>
        <w:suppressLineNumbers w:val="0"/>
        <w:spacing w:before="210" w:beforeAutospacing="0" w:after="0" w:afterAutospacing="0" w:line="362" w:lineRule="atLeast"/>
        <w:ind w:left="720" w:right="705"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1. </w:t>
      </w:r>
      <w:r>
        <w:rPr>
          <w:rFonts w:hint="eastAsia" w:ascii="仿宋" w:hAnsi="仿宋" w:eastAsia="仿宋" w:cs="仿宋"/>
          <w:i w:val="0"/>
          <w:iCs w:val="0"/>
          <w:caps w:val="0"/>
          <w:color w:val="000000"/>
          <w:spacing w:val="0"/>
          <w:sz w:val="31"/>
          <w:szCs w:val="31"/>
        </w:rPr>
        <w:t>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pStyle w:val="3"/>
        <w:keepNext w:val="0"/>
        <w:keepLines w:val="0"/>
        <w:widowControl/>
        <w:suppressLineNumbers w:val="0"/>
        <w:spacing w:before="0" w:beforeAutospacing="0" w:after="0" w:afterAutospacing="0" w:line="362" w:lineRule="atLeast"/>
        <w:ind w:left="720" w:right="705"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2. </w:t>
      </w:r>
      <w:r>
        <w:rPr>
          <w:rFonts w:hint="eastAsia" w:ascii="仿宋" w:hAnsi="仿宋" w:eastAsia="仿宋" w:cs="仿宋"/>
          <w:i w:val="0"/>
          <w:iCs w:val="0"/>
          <w:caps w:val="0"/>
          <w:color w:val="000000"/>
          <w:spacing w:val="0"/>
          <w:sz w:val="31"/>
          <w:szCs w:val="31"/>
        </w:rPr>
        <w:t>上述佣金收取标准为公司向投资者收取的佣金上限， 即默认佣金。投资者实际产生的证券交易佣金按照所申请并调整设置后的佣金费率收取，未申请调整的证券品种将按照默认佣金收取，详情咨询开户营业部。</w:t>
      </w:r>
    </w:p>
    <w:p>
      <w:pPr>
        <w:pStyle w:val="3"/>
        <w:keepNext w:val="0"/>
        <w:keepLines w:val="0"/>
        <w:widowControl/>
        <w:suppressLineNumbers w:val="0"/>
        <w:spacing w:before="0" w:beforeAutospacing="0" w:after="0"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3. </w:t>
      </w:r>
      <w:r>
        <w:rPr>
          <w:rFonts w:hint="eastAsia" w:ascii="仿宋" w:hAnsi="仿宋" w:eastAsia="仿宋" w:cs="仿宋"/>
          <w:i w:val="0"/>
          <w:iCs w:val="0"/>
          <w:caps w:val="0"/>
          <w:color w:val="000000"/>
          <w:spacing w:val="0"/>
          <w:sz w:val="31"/>
          <w:szCs w:val="31"/>
        </w:rPr>
        <w:t>其他品种证券交易佣金收费标准严格遵守证监会、证券业协会、交易所及登记结算公司的相关规定，按照与投资者协商约定的佣金费率收取，不低于证券交易服务成本。</w:t>
      </w:r>
    </w:p>
    <w:p>
      <w:pPr>
        <w:pStyle w:val="3"/>
        <w:keepNext w:val="0"/>
        <w:keepLines w:val="0"/>
        <w:widowControl/>
        <w:suppressLineNumbers w:val="0"/>
        <w:spacing w:before="0" w:beforeAutospacing="0" w:after="0"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4. </w:t>
      </w:r>
      <w:r>
        <w:rPr>
          <w:rFonts w:hint="eastAsia" w:ascii="仿宋" w:hAnsi="仿宋" w:eastAsia="仿宋" w:cs="仿宋"/>
          <w:i w:val="0"/>
          <w:iCs w:val="0"/>
          <w:caps w:val="0"/>
          <w:color w:val="000000"/>
          <w:spacing w:val="0"/>
          <w:sz w:val="31"/>
          <w:szCs w:val="31"/>
        </w:rPr>
        <w:t>如交易所、登记结算公司等行业有规定的收费标准发生变更，公司将同时变更代收标准。</w:t>
      </w:r>
    </w:p>
    <w:p>
      <w:pPr>
        <w:pStyle w:val="3"/>
        <w:keepNext w:val="0"/>
        <w:keepLines w:val="0"/>
        <w:widowControl/>
        <w:suppressLineNumbers w:val="0"/>
        <w:spacing w:before="150" w:beforeAutospacing="0" w:after="15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三、佣金收取方式</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部按照有关法律、法规、规章、证券登记结算机构业务规则及证券交易交易规则的相关规定，直接向客户收取佣金。佣金于每笔证券交易成交后支付，由我部电脑系统设定程序自动收取，如因电脑故障收取失败，我部可以以人工方式进行收取。</w:t>
      </w:r>
    </w:p>
    <w:p>
      <w:pPr>
        <w:pStyle w:val="3"/>
        <w:keepNext w:val="0"/>
        <w:keepLines w:val="0"/>
        <w:widowControl/>
        <w:suppressLineNumbers w:val="0"/>
        <w:spacing w:before="150" w:beforeAutospacing="0" w:after="15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四、佣金公示</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根据法律、法规、规章、业务规则等调整客户佣金收取标准及收取方式，我部将在调整前通过营业部场所张贴、网上交易系统及电话委托系统明示及提醒、印制相关客户服务手册等方式进行公示。</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佣金计算及查询请前往营业部柜台、致电全国服务热线：95553，或登录公司网站查询。</w:t>
      </w:r>
    </w:p>
    <w:p>
      <w:pPr>
        <w:pStyle w:val="8"/>
        <w:widowControl w:val="0"/>
        <w:numPr>
          <w:ilvl w:val="0"/>
          <w:numId w:val="0"/>
        </w:numPr>
        <w:tabs>
          <w:tab w:val="left" w:pos="1680"/>
        </w:tabs>
        <w:autoSpaceDE w:val="0"/>
        <w:autoSpaceDN w:val="0"/>
        <w:spacing w:before="212" w:after="0" w:line="240" w:lineRule="auto"/>
        <w:ind w:right="0" w:rightChars="0"/>
        <w:jc w:val="left"/>
        <w:rPr>
          <w:w w:val="95"/>
          <w:sz w:val="32"/>
        </w:rPr>
      </w:pPr>
      <w:bookmarkStart w:id="0" w:name="_GoBack"/>
      <w:bookmarkEnd w:id="0"/>
    </w:p>
    <w:sectPr>
      <w:footerReference r:id="rId5" w:type="default"/>
      <w:pgSz w:w="11910" w:h="16840"/>
      <w:pgMar w:top="1380" w:right="1080" w:bottom="1160" w:left="108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3709670</wp:posOffset>
              </wp:positionH>
              <wp:positionV relativeFrom="page">
                <wp:posOffset>9938385</wp:posOffset>
              </wp:positionV>
              <wp:extent cx="140335" cy="20383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40335" cy="203835"/>
                      </a:xfrm>
                      <a:prstGeom prst="rect">
                        <a:avLst/>
                      </a:prstGeom>
                      <a:noFill/>
                      <a:ln>
                        <a:noFill/>
                      </a:ln>
                    </wps:spPr>
                    <wps:txbx>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2.1pt;margin-top:782.55pt;height:16.05pt;width:11.05pt;mso-position-horizontal-relative:page;mso-position-vertical-relative:page;z-index:-251657216;mso-width-relative:page;mso-height-relative:page;" filled="f" stroked="f" coordsize="21600,21600" o:gfxdata="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fM+EtsAAAANAQAADwAAAAAAAAABACAAAAAiAAAAZHJzL2Rvd25yZXYueG1s&#10;UEsBAhQAFAAAAAgAh07iQMXBNO68AQAAdAMAAA4AAAAAAAAAAQAgAAAAKgEAAGRycy9lMm9Eb2Mu&#10;eG1sUEsFBgAAAAAGAAYAWQEAAFgFAAAAAA==&#10;">
              <v:fill on="f" focussize="0,0"/>
              <v:stroke on="f"/>
              <v:imagedata o:title=""/>
              <o:lock v:ext="edit" aspectratio="f"/>
              <v:textbox inset="0mm,0mm,0mm,0mm">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A4D18"/>
    <w:rsid w:val="33060DDB"/>
    <w:rsid w:val="3F6633FF"/>
    <w:rsid w:val="683D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20" w:firstLine="640"/>
      <w:jc w:val="both"/>
    </w:pPr>
    <w:rPr>
      <w:rFonts w:ascii="仿宋" w:hAnsi="仿宋" w:eastAsia="仿宋" w:cs="仿宋"/>
      <w:lang w:val="zh-CN" w:eastAsia="zh-CN" w:bidi="zh-CN"/>
    </w:rPr>
  </w:style>
  <w:style w:type="paragraph" w:customStyle="1" w:styleId="9">
    <w:name w:val="Table Paragraph"/>
    <w:basedOn w:val="1"/>
    <w:qFormat/>
    <w:uiPriority w:val="1"/>
    <w:pPr>
      <w:spacing w:before="100"/>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2023-08-29T07:38:00Z</dcterms:created>
  <dc:creator>Administrator</dc:creator>
  <cp:lastModifiedBy>cc</cp:lastModifiedBy>
  <dcterms:modified xsi:type="dcterms:W3CDTF">2024-04-26T06:35:26Z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KSOProductBuildVer">
    <vt:lpwstr>2052-11.8.2.12085</vt:lpwstr>
  </property>
  <property fmtid="{D5CDD505-2E9C-101B-9397-08002B2CF9AE}" pid="6" name="ICV">
    <vt:lpwstr>6C92D7E4BC4247B0B6C289D3AB77636A</vt:lpwstr>
  </property>
</Properties>
</file>