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青岛杭州路营业部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</w:rPr>
        <w:t>佣金收取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标准</w:t>
      </w:r>
    </w:p>
    <w:p>
      <w:pPr>
        <w:tabs>
          <w:tab w:val="left" w:pos="0"/>
        </w:tabs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8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480"/>
        <w:gridCol w:w="3024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5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佣金率（‰）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普通客户</w:t>
            </w:r>
          </w:p>
        </w:tc>
        <w:tc>
          <w:tcPr>
            <w:tcW w:w="5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该类客户交易佣金率上限不能高于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3.0</w:t>
            </w:r>
            <w:r>
              <w:rPr>
                <w:rStyle w:val="6"/>
                <w:highlight w:val="none"/>
                <w:lang w:val="en-US" w:eastAsia="zh-CN" w:bidi="ar"/>
              </w:rPr>
              <w:t>‰，下限不能低于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0.2</w:t>
            </w:r>
            <w:r>
              <w:rPr>
                <w:rStyle w:val="6"/>
                <w:highlight w:val="none"/>
                <w:lang w:val="en-US" w:eastAsia="zh-CN" w:bidi="ar"/>
              </w:rPr>
              <w:t>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特殊客户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股票（沪深股票、港股通）基金（ETF、LOF等）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资产≥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50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万元 或 月交易量（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50</w:t>
            </w:r>
            <w:r>
              <w:rPr>
                <w:rStyle w:val="6"/>
                <w:highlight w:val="none"/>
                <w:lang w:val="en-US" w:eastAsia="zh-CN" w:bidi="ar"/>
              </w:rPr>
              <w:t>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6"/>
                <w:highlight w:val="none"/>
                <w:lang w:val="en-US" w:eastAsia="zh-CN" w:bidi="ar"/>
              </w:rPr>
              <w:t>）万元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6"/>
                <w:highlight w:val="none"/>
                <w:lang w:val="en-US" w:eastAsia="zh-CN" w:bidi="ar"/>
              </w:rPr>
              <w:t>‰-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资产≥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200</w:t>
            </w:r>
            <w:r>
              <w:rPr>
                <w:rStyle w:val="6"/>
                <w:highlight w:val="none"/>
                <w:lang w:val="en-US" w:eastAsia="zh-CN" w:bidi="ar"/>
              </w:rPr>
              <w:t>万元 或 月交易量（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6"/>
                <w:highlight w:val="none"/>
                <w:lang w:val="en-US" w:eastAsia="zh-CN" w:bidi="ar"/>
              </w:rPr>
              <w:t>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6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6"/>
                <w:highlight w:val="none"/>
                <w:lang w:val="en-US" w:eastAsia="zh-CN" w:bidi="ar"/>
              </w:rPr>
              <w:t>‰-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4</w:t>
            </w:r>
            <w:r>
              <w:rPr>
                <w:rStyle w:val="6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资产≥</w:t>
            </w: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万元 或 月交易量 (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6"/>
                <w:highlight w:val="none"/>
                <w:lang w:val="en-US" w:eastAsia="zh-CN" w:bidi="ar"/>
              </w:rPr>
              <w:t>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3000</w:t>
            </w:r>
            <w:r>
              <w:rPr>
                <w:rStyle w:val="6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6"/>
                <w:highlight w:val="none"/>
                <w:lang w:val="en-US" w:eastAsia="zh-CN" w:bidi="ar"/>
              </w:rPr>
              <w:t>‰-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资产≥</w:t>
            </w: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万元 或 月交易量 (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3000</w:t>
            </w:r>
            <w:r>
              <w:rPr>
                <w:rStyle w:val="6"/>
                <w:highlight w:val="none"/>
                <w:lang w:val="en-US" w:eastAsia="zh-CN" w:bidi="ar"/>
              </w:rPr>
              <w:t>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5000</w:t>
            </w:r>
            <w:r>
              <w:rPr>
                <w:rStyle w:val="6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6"/>
                <w:highlight w:val="none"/>
                <w:lang w:val="en-US" w:eastAsia="zh-CN" w:bidi="ar"/>
              </w:rPr>
              <w:t>‰-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0.10</w:t>
            </w:r>
            <w:r>
              <w:rPr>
                <w:rStyle w:val="6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6"/>
                <w:highlight w:val="none"/>
                <w:lang w:val="en-US" w:eastAsia="zh-CN" w:bidi="ar"/>
              </w:rPr>
              <w:t>‰-</w:t>
            </w: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0.10</w:t>
            </w:r>
            <w:r>
              <w:rPr>
                <w:rStyle w:val="6"/>
                <w:highlight w:val="none"/>
                <w:lang w:val="en-US" w:eastAsia="zh-CN" w:bidi="ar"/>
              </w:rPr>
              <w:t>‰或根据合同要求设置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债券现券、债券回购、股票（北交所、股转市场）、期权</w:t>
            </w:r>
          </w:p>
        </w:tc>
        <w:tc>
          <w:tcPr>
            <w:tcW w:w="5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双方约定，下限不得低于交易所收费标准，并按规定执行内部报备制度</w:t>
            </w:r>
          </w:p>
        </w:tc>
      </w:tr>
    </w:tbl>
    <w:p>
      <w:pPr>
        <w:tabs>
          <w:tab w:val="left" w:pos="0"/>
        </w:tabs>
        <w:jc w:val="both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营业部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交易佣金结构</w:t>
      </w:r>
    </w:p>
    <w:tbl>
      <w:tblPr>
        <w:tblStyle w:val="3"/>
        <w:tblW w:w="9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541"/>
        <w:gridCol w:w="2965"/>
        <w:gridCol w:w="1869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一级分类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二级分类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三级分类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参数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交易佣金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基础佣金率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根据地区平均佣金率测算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（资产，或者由交易量换算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的资产当量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万,+∞)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E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F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H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I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证券品种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调整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股票（沪深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股票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、港股通）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基金（含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ETF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等）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债券现券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股票（北交所、股转市场）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客户忠诚度调整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年,+∞）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佣金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服务佣金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交易功能</w:t>
            </w:r>
          </w:p>
        </w:tc>
        <w:tc>
          <w:tcPr>
            <w:tcW w:w="3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投资咨询服务</w:t>
            </w:r>
          </w:p>
        </w:tc>
        <w:tc>
          <w:tcPr>
            <w:tcW w:w="36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通讯服务</w:t>
            </w:r>
          </w:p>
        </w:tc>
        <w:tc>
          <w:tcPr>
            <w:tcW w:w="36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&gt;营业部基础佣金率由地区平均佣金率作为计算参考；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&gt;交易量采用股票基金交易量，资产当量 = 交易量 / 营业部平均周转率或市场周转率；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801BA"/>
    <w:multiLevelType w:val="singleLevel"/>
    <w:tmpl w:val="BC0801BA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B026F"/>
    <w:rsid w:val="57E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3"/>
    <w:basedOn w:val="1"/>
    <w:qFormat/>
    <w:uiPriority w:val="0"/>
    <w:pPr>
      <w:numPr>
        <w:ilvl w:val="0"/>
        <w:numId w:val="1"/>
      </w:numPr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2024-04-11T01:53:00Z</dcterms:created>
  <dc:creator>LENOVO</dc:creator>
  <cp:lastModifiedBy>LENOVO</cp:lastModifiedBy>
  <dcterms:modified xsi:type="dcterms:W3CDTF">2024-04-11T03:45:34Z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299050C07A984FD78AC6EE6D3AFDAF20</vt:lpwstr>
  </property>
</Properties>
</file>