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华文中宋" w:hAnsi="华文中宋" w:eastAsia="华文中宋" w:cs="华文中宋"/>
          <w:b w:val="0"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海通证券</w:t>
      </w:r>
      <w:r>
        <w:rPr>
          <w:rFonts w:hint="eastAsia" w:ascii="Times New Roman" w:hAnsi="Times New Roman" w:eastAsia="华文中宋" w:cs="华文中宋"/>
          <w:b w:val="0"/>
          <w:bCs/>
          <w:sz w:val="36"/>
          <w:szCs w:val="36"/>
          <w:lang w:val="en-US" w:eastAsia="zh-CN"/>
        </w:rPr>
        <w:t>常州常武北路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证券营业部交易、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增值佣金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收取标准及收取方式告知确认书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尊敬的客户：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根据证券监管机构关于客户服务和佣金管理有关规定，现将我部交易、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增值佣金</w:t>
      </w:r>
      <w:r>
        <w:rPr>
          <w:rFonts w:hint="eastAsia" w:ascii="仿宋" w:hAnsi="仿宋" w:eastAsia="仿宋" w:cs="仿宋"/>
          <w:sz w:val="32"/>
          <w:szCs w:val="32"/>
        </w:rPr>
        <w:t>收取标准和收取方式告知如下：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center"/>
        <w:textAlignment w:val="auto"/>
        <w:rPr>
          <w:rFonts w:hint="eastAsia" w:ascii="宋体" w:hAnsi="宋体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海通证券常州</w:t>
      </w:r>
      <w:r>
        <w:rPr>
          <w:rFonts w:hint="eastAsia" w:ascii="Times New Roman" w:hAnsi="Times New Roman"/>
          <w:b/>
          <w:sz w:val="30"/>
          <w:szCs w:val="30"/>
          <w:lang w:val="en-US" w:eastAsia="zh-CN"/>
        </w:rPr>
        <w:t>常武北</w:t>
      </w:r>
      <w:r>
        <w:rPr>
          <w:rFonts w:hint="eastAsia" w:ascii="Times New Roman" w:hAnsi="Times New Roman"/>
          <w:b/>
          <w:sz w:val="30"/>
          <w:szCs w:val="30"/>
        </w:rPr>
        <w:t>路</w:t>
      </w:r>
      <w:r>
        <w:rPr>
          <w:rFonts w:hint="eastAsia" w:ascii="Times New Roman" w:hAnsi="Times New Roman"/>
          <w:b/>
          <w:sz w:val="30"/>
          <w:szCs w:val="30"/>
          <w:lang w:val="en-US" w:eastAsia="zh-CN"/>
        </w:rPr>
        <w:t>证券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营业部佣金收取标准</w:t>
      </w:r>
    </w:p>
    <w:tbl>
      <w:tblPr>
        <w:tblStyle w:val="5"/>
        <w:tblW w:w="560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229"/>
        <w:gridCol w:w="742"/>
        <w:gridCol w:w="2495"/>
        <w:gridCol w:w="2137"/>
        <w:gridCol w:w="1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36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佣金率（</w:t>
            </w: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8"/>
                <w:szCs w:val="28"/>
                <w:lang w:bidi="ar"/>
              </w:rPr>
              <w:t>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3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普通客户佣金率</w:t>
            </w:r>
          </w:p>
        </w:tc>
        <w:tc>
          <w:tcPr>
            <w:tcW w:w="36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该类客户交易佣金率上限不能高于3.0‰，下限不能低于0.10‰。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交易佣金率 = 基础佣金率*客户级别调整系数*证券品种调整系数*客户忠诚度调整系数。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特殊客户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佣金率</w:t>
            </w:r>
          </w:p>
        </w:tc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股票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（沪深股票、港股通）</w:t>
            </w:r>
          </w:p>
        </w:tc>
        <w:tc>
          <w:tcPr>
            <w:tcW w:w="2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资产≥ 50 万元 或 月交易量达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3.0‰-0.10‰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资产≥500 万元 或 月交易量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3.0‰-0.098‰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资产≥1000 万元 或 月交易量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3.0‰-0.095‰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资产≥3000 万元 或 月交易量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3.0‰-0.09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特定机构户、量化交易户、产品户、理财产品专户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3.0‰-0.085‰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3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基金（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ETF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  <w:lang w:val="en-US" w:eastAsia="zh-CN"/>
              </w:rPr>
              <w:t>LOF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等）、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债券现券、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债券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回购、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股票（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北交所、股转市场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、期权</w:t>
            </w:r>
          </w:p>
        </w:tc>
        <w:tc>
          <w:tcPr>
            <w:tcW w:w="3679" w:type="pct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双方约定，下限不得低于交易所收费标准，并按规定执行内部报备制度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0" w:after="140"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sz w:val="30"/>
                <w:szCs w:val="30"/>
              </w:rPr>
              <w:t>海通证券常州</w:t>
            </w:r>
            <w:r>
              <w:rPr>
                <w:rFonts w:hint="eastAsia" w:ascii="Times New Roman" w:hAnsi="Times New Roman" w:cs="宋体"/>
                <w:b/>
                <w:bCs w:val="0"/>
                <w:sz w:val="30"/>
                <w:szCs w:val="30"/>
                <w:lang w:val="en-US" w:eastAsia="zh-CN"/>
              </w:rPr>
              <w:t>常武北</w:t>
            </w:r>
            <w:r>
              <w:rPr>
                <w:rFonts w:hint="eastAsia" w:ascii="Times New Roman" w:hAnsi="Times New Roman" w:eastAsia="宋体" w:cs="宋体"/>
                <w:b/>
                <w:bCs w:val="0"/>
                <w:sz w:val="30"/>
                <w:szCs w:val="30"/>
              </w:rPr>
              <w:t>路证券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营业部交易佣金结构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1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客户分类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佣金系数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交易佣金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基础佣金率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根据地区平均佣金率测算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0.246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客户资产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或由交易量测算的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资产级别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万,+∞)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0.40～0.70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资产级别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万)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0.45～0.80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资产级别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万)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0.50～0.90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资产级别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万)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0.55～1.00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资产级别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万)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0.60～1.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资产级别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万)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0.65～1.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资产级别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万)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0.7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～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资产级别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万,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万)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0.75～2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资产级别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万)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0.8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～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证券品种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股票（沪深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股票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、港股通）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1.00～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1.2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基金（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ETF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LOF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等）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0.80～1.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债券现券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0.50～0.80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股票（北交所、股转市场）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1.4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～6.00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客户忠诚度</w:t>
            </w: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忠诚度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年,+∞)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0.35～0.80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忠诚度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年,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0.4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～0.90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忠诚度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年,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0.45～1.00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忠诚度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8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0.5～1.50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增值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佣金</w:t>
            </w:r>
          </w:p>
        </w:tc>
        <w:tc>
          <w:tcPr>
            <w:tcW w:w="1054" w:type="pct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服务佣金</w:t>
            </w: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交易功能</w:t>
            </w:r>
          </w:p>
        </w:tc>
        <w:tc>
          <w:tcPr>
            <w:tcW w:w="1948" w:type="pct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与客户签署服务协议约定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投资咨询服务</w:t>
            </w:r>
          </w:p>
        </w:tc>
        <w:tc>
          <w:tcPr>
            <w:tcW w:w="1948" w:type="pct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通讯服务</w:t>
            </w:r>
          </w:p>
        </w:tc>
        <w:tc>
          <w:tcPr>
            <w:tcW w:w="1948" w:type="pct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000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&gt;基础佣金率由地区平均佣金率作为计算参考；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&gt;交易量采用股票基金交易量，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折算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=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交易量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分支机构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平均周转率或市场周转率；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c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&gt;辖区证券业协会出台自律性佣金标准，按辖区自律佣金标准执行。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6"/>
        </w:rPr>
        <w:t>佣金收取方式</w:t>
      </w:r>
      <w:r>
        <w:rPr>
          <w:rFonts w:hint="eastAsia" w:ascii="黑体" w:hAnsi="黑体" w:eastAsia="黑体" w:cs="黑体"/>
          <w:b w:val="0"/>
          <w:bCs/>
          <w:sz w:val="32"/>
          <w:szCs w:val="36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我部按照有关法律、法规、规章、证券登记结算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业务规则以及证券交易所交易规则的相关规定，直接向客户收取佣金。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如因</w:t>
      </w:r>
      <w:r>
        <w:rPr>
          <w:rFonts w:hint="eastAsia" w:ascii="仿宋" w:hAnsi="仿宋" w:eastAsia="仿宋" w:cs="仿宋"/>
          <w:sz w:val="32"/>
          <w:szCs w:val="32"/>
        </w:rPr>
        <w:t>法律、法规、规章、业务规则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及其他原因</w:t>
      </w:r>
      <w:r>
        <w:rPr>
          <w:rFonts w:hint="eastAsia" w:ascii="仿宋" w:hAnsi="仿宋" w:eastAsia="仿宋" w:cs="仿宋"/>
          <w:sz w:val="32"/>
          <w:szCs w:val="32"/>
        </w:rPr>
        <w:t>调整佣金收取标准及收取方式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，我部将在调整前通过营业场所、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公司网站、</w:t>
      </w:r>
      <w:r>
        <w:rPr>
          <w:rFonts w:hint="eastAsia" w:ascii="仿宋" w:hAnsi="仿宋" w:eastAsia="仿宋" w:cs="仿宋"/>
          <w:sz w:val="32"/>
          <w:szCs w:val="32"/>
        </w:rPr>
        <w:t>网上交易及电话委托系统提示等方式公示。</w:t>
      </w:r>
    </w:p>
    <w:p>
      <w:pPr>
        <w:spacing w:before="156" w:beforeLines="50" w:line="360" w:lineRule="auto"/>
        <w:ind w:firstLine="720" w:firstLineChars="225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before="120" w:line="300" w:lineRule="auto"/>
        <w:rPr>
          <w:rFonts w:hint="eastAsia" w:ascii="宋体" w:hAnsi="宋体"/>
          <w:szCs w:val="21"/>
        </w:rPr>
      </w:pPr>
    </w:p>
    <w:p/>
    <w:sectPr>
      <w:headerReference r:id="rId3" w:type="default"/>
      <w:footerReference r:id="rId4" w:type="default"/>
      <w:pgSz w:w="11906" w:h="16838"/>
      <w:pgMar w:top="1134" w:right="1797" w:bottom="850" w:left="1797" w:header="51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140" w:firstLineChars="2300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ascii="Arial" w:hAnsi="Arial" w:eastAsia="楷体_GB2312" w:cs="Arial"/>
        <w:u w:val="no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4387850</wp:posOffset>
          </wp:positionH>
          <wp:positionV relativeFrom="paragraph">
            <wp:posOffset>-19685</wp:posOffset>
          </wp:positionV>
          <wp:extent cx="1353185" cy="337820"/>
          <wp:effectExtent l="0" t="0" r="18415" b="5080"/>
          <wp:wrapTopAndBottom/>
          <wp:docPr id="1" name="图片 3073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073" descr="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318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37FEE"/>
    <w:rsid w:val="02837FEE"/>
    <w:rsid w:val="0935495F"/>
    <w:rsid w:val="3CB30642"/>
    <w:rsid w:val="5030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2024-05-09T05:27:00Z</dcterms:created>
  <dc:creator>User</dc:creator>
  <cp:lastModifiedBy>User</cp:lastModifiedBy>
  <dcterms:modified xsi:type="dcterms:W3CDTF">2024-05-09T05:38:17Z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F816480C2EC74AEA98178A84A0D1DECB</vt:lpwstr>
  </property>
</Properties>
</file>