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hint="eastAsia" w:ascii="Times New Roman" w:hAnsi="Times New Roman" w:eastAsia="黑体"/>
          <w:b/>
          <w:sz w:val="24"/>
          <w:szCs w:val="24"/>
          <w:lang w:val="en-US" w:eastAsia="zh-CN"/>
        </w:rPr>
      </w:pPr>
      <w:r>
        <w:rPr>
          <w:rFonts w:ascii="Times New Roman" w:hAnsi="Times New Roman" w:eastAsia="黑体"/>
          <w:b/>
          <w:sz w:val="24"/>
          <w:szCs w:val="24"/>
        </w:rPr>
        <w:t>债券代码：</w:t>
      </w:r>
      <w:r>
        <w:rPr>
          <w:rFonts w:hint="eastAsia" w:ascii="Times New Roman" w:hAnsi="Times New Roman" w:eastAsia="黑体"/>
          <w:b/>
          <w:sz w:val="24"/>
          <w:szCs w:val="24"/>
          <w:lang w:val="en-US" w:eastAsia="zh-CN"/>
        </w:rPr>
        <w:t>185219</w:t>
      </w:r>
      <w:r>
        <w:rPr>
          <w:rFonts w:ascii="Times New Roman" w:hAnsi="Times New Roman" w:eastAsia="黑体"/>
          <w:b/>
          <w:sz w:val="24"/>
          <w:szCs w:val="24"/>
        </w:rPr>
        <w:t xml:space="preserve">                                 债券简称：</w:t>
      </w:r>
      <w:r>
        <w:rPr>
          <w:rFonts w:hint="eastAsia" w:ascii="Times New Roman" w:hAnsi="Times New Roman" w:eastAsia="黑体"/>
          <w:b/>
          <w:sz w:val="24"/>
          <w:szCs w:val="24"/>
          <w:lang w:val="en-US" w:eastAsia="zh-CN"/>
        </w:rPr>
        <w:t>22</w:t>
      </w:r>
      <w:r>
        <w:rPr>
          <w:rFonts w:hint="eastAsia" w:ascii="Times New Roman" w:hAnsi="Times New Roman" w:eastAsia="黑体"/>
          <w:b/>
          <w:sz w:val="24"/>
          <w:szCs w:val="24"/>
        </w:rPr>
        <w:t>海通</w:t>
      </w:r>
      <w:r>
        <w:rPr>
          <w:rFonts w:hint="eastAsia" w:ascii="Times New Roman" w:hAnsi="Times New Roman" w:eastAsia="黑体"/>
          <w:b/>
          <w:sz w:val="24"/>
          <w:szCs w:val="24"/>
          <w:lang w:val="en-US" w:eastAsia="zh-CN"/>
        </w:rPr>
        <w:t>C1</w:t>
      </w:r>
    </w:p>
    <w:p>
      <w:pPr>
        <w:adjustRightInd w:val="0"/>
        <w:snapToGrid w:val="0"/>
        <w:spacing w:line="400" w:lineRule="exact"/>
        <w:ind w:firstLine="510"/>
        <w:jc w:val="center"/>
        <w:rPr>
          <w:rFonts w:ascii="Times New Roman" w:hAnsi="Times New Roman"/>
          <w:bCs/>
          <w:sz w:val="30"/>
          <w:szCs w:val="30"/>
        </w:rPr>
      </w:pPr>
    </w:p>
    <w:p>
      <w:pPr>
        <w:adjustRightInd w:val="0"/>
        <w:snapToGrid w:val="0"/>
        <w:jc w:val="center"/>
        <w:rPr>
          <w:rFonts w:ascii="Times New Roman" w:hAnsi="Times New Roman" w:eastAsia="华文中宋"/>
          <w:b/>
          <w:color w:val="FF0000"/>
          <w:sz w:val="36"/>
          <w:szCs w:val="36"/>
        </w:rPr>
      </w:pPr>
      <w:r>
        <w:rPr>
          <w:rFonts w:hint="eastAsia" w:ascii="Times New Roman" w:hAnsi="Times New Roman" w:eastAsia="华文中宋"/>
          <w:b/>
          <w:color w:val="FF0000"/>
          <w:sz w:val="36"/>
          <w:szCs w:val="36"/>
        </w:rPr>
        <w:t>海通证券股份有限公司</w:t>
      </w:r>
    </w:p>
    <w:p>
      <w:pPr>
        <w:adjustRightInd w:val="0"/>
        <w:snapToGrid w:val="0"/>
        <w:jc w:val="center"/>
        <w:rPr>
          <w:rFonts w:ascii="Times New Roman" w:hAnsi="Times New Roman" w:eastAsia="华文中宋"/>
          <w:b/>
          <w:color w:val="FF0000"/>
          <w:sz w:val="36"/>
          <w:szCs w:val="36"/>
        </w:rPr>
      </w:pPr>
      <w:r>
        <w:rPr>
          <w:rFonts w:hint="eastAsia" w:ascii="Times New Roman" w:hAnsi="Times New Roman" w:eastAsia="华文中宋"/>
          <w:b/>
          <w:color w:val="FF0000"/>
          <w:sz w:val="36"/>
          <w:szCs w:val="36"/>
          <w:lang w:val="en-US" w:eastAsia="zh-CN"/>
        </w:rPr>
        <w:t>2022年面向专业投资者公开发行次级</w:t>
      </w:r>
      <w:r>
        <w:rPr>
          <w:rFonts w:hint="eastAsia" w:ascii="Times New Roman" w:hAnsi="Times New Roman" w:eastAsia="华文中宋"/>
          <w:b/>
          <w:color w:val="FF0000"/>
          <w:sz w:val="36"/>
          <w:szCs w:val="36"/>
        </w:rPr>
        <w:t>债券</w:t>
      </w:r>
      <w:r>
        <w:rPr>
          <w:rFonts w:hint="eastAsia" w:ascii="Times New Roman" w:hAnsi="Times New Roman" w:eastAsia="华文中宋"/>
          <w:b/>
          <w:color w:val="FF0000"/>
          <w:sz w:val="36"/>
          <w:szCs w:val="36"/>
          <w:lang w:eastAsia="zh-CN"/>
        </w:rPr>
        <w:t>（</w:t>
      </w:r>
      <w:r>
        <w:rPr>
          <w:rFonts w:hint="eastAsia" w:ascii="Times New Roman" w:hAnsi="Times New Roman" w:eastAsia="华文中宋"/>
          <w:b/>
          <w:color w:val="FF0000"/>
          <w:sz w:val="36"/>
          <w:szCs w:val="36"/>
        </w:rPr>
        <w:t>第</w:t>
      </w:r>
      <w:r>
        <w:rPr>
          <w:rFonts w:hint="eastAsia" w:ascii="Times New Roman" w:hAnsi="Times New Roman" w:eastAsia="华文中宋"/>
          <w:b/>
          <w:color w:val="FF0000"/>
          <w:sz w:val="36"/>
          <w:szCs w:val="36"/>
          <w:lang w:val="en-US" w:eastAsia="zh-CN"/>
        </w:rPr>
        <w:t>一</w:t>
      </w:r>
      <w:r>
        <w:rPr>
          <w:rFonts w:hint="eastAsia" w:ascii="Times New Roman" w:hAnsi="Times New Roman" w:eastAsia="华文中宋"/>
          <w:b/>
          <w:color w:val="FF0000"/>
          <w:sz w:val="36"/>
          <w:szCs w:val="36"/>
        </w:rPr>
        <w:t>期</w:t>
      </w:r>
      <w:r>
        <w:rPr>
          <w:rFonts w:hint="eastAsia" w:ascii="Times New Roman" w:hAnsi="Times New Roman" w:eastAsia="华文中宋"/>
          <w:b/>
          <w:color w:val="FF0000"/>
          <w:sz w:val="36"/>
          <w:szCs w:val="36"/>
          <w:lang w:eastAsia="zh-CN"/>
        </w:rPr>
        <w:t>）</w:t>
      </w:r>
      <w:r>
        <w:rPr>
          <w:rFonts w:ascii="Times New Roman" w:hAnsi="Times New Roman" w:eastAsia="华文中宋"/>
          <w:b/>
          <w:color w:val="FF0000"/>
          <w:sz w:val="36"/>
          <w:szCs w:val="36"/>
        </w:rPr>
        <w:t>202</w:t>
      </w:r>
      <w:r>
        <w:rPr>
          <w:rFonts w:hint="eastAsia" w:ascii="Times New Roman" w:hAnsi="Times New Roman" w:eastAsia="华文中宋"/>
          <w:b/>
          <w:color w:val="FF0000"/>
          <w:sz w:val="36"/>
          <w:szCs w:val="36"/>
          <w:lang w:val="en-US" w:eastAsia="zh-CN"/>
        </w:rPr>
        <w:t>5</w:t>
      </w:r>
      <w:r>
        <w:rPr>
          <w:rFonts w:ascii="Times New Roman" w:hAnsi="Times New Roman" w:eastAsia="华文中宋"/>
          <w:b/>
          <w:color w:val="FF0000"/>
          <w:sz w:val="36"/>
          <w:szCs w:val="36"/>
        </w:rPr>
        <w:t>年本息兑付及摘牌公告</w:t>
      </w:r>
    </w:p>
    <w:p>
      <w:pPr>
        <w:pBdr>
          <w:top w:val="single" w:color="auto" w:sz="4" w:space="1"/>
          <w:left w:val="single" w:color="auto" w:sz="4" w:space="4"/>
          <w:bottom w:val="single" w:color="auto" w:sz="4" w:space="1"/>
          <w:right w:val="single" w:color="auto" w:sz="4" w:space="4"/>
        </w:pBdr>
        <w:adjustRightInd w:val="0"/>
        <w:snapToGrid w:val="0"/>
        <w:rPr>
          <w:rFonts w:ascii="Times New Roman" w:hAnsi="Times New Roman"/>
          <w:color w:val="000000"/>
          <w:sz w:val="24"/>
          <w:szCs w:val="24"/>
        </w:rPr>
      </w:pPr>
      <w:r>
        <w:rPr>
          <w:rFonts w:ascii="Times New Roman" w:hAnsi="Times New Roman"/>
          <w:color w:val="000000"/>
          <w:sz w:val="30"/>
          <w:szCs w:val="30"/>
        </w:rPr>
        <w:t xml:space="preserve">    </w:t>
      </w:r>
      <w:r>
        <w:rPr>
          <w:rFonts w:ascii="Times New Roman" w:hAnsi="Times New Roman"/>
          <w:color w:val="000000"/>
          <w:sz w:val="24"/>
          <w:szCs w:val="24"/>
        </w:rPr>
        <w:t>本公司全体董事或具有同等职责的人员保证本公告内容不存在任何虚假记载、误导性陈述或者重大遗漏，并对其内容的真实性、准确性和完整性承担相应的法律责任。</w:t>
      </w:r>
    </w:p>
    <w:p>
      <w:pPr>
        <w:widowControl/>
        <w:spacing w:line="400" w:lineRule="exact"/>
        <w:jc w:val="left"/>
        <w:rPr>
          <w:rFonts w:ascii="Times New Roman" w:hAnsi="Times New Roman"/>
          <w:sz w:val="30"/>
          <w:szCs w:val="30"/>
        </w:rPr>
      </w:pPr>
    </w:p>
    <w:p>
      <w:pPr>
        <w:widowControl/>
        <w:snapToGrid w:val="0"/>
        <w:spacing w:line="400" w:lineRule="exact"/>
        <w:ind w:firstLine="482" w:firstLineChars="200"/>
        <w:jc w:val="left"/>
        <w:rPr>
          <w:rFonts w:ascii="Times New Roman" w:hAnsi="Times New Roman"/>
          <w:b/>
          <w:bCs/>
          <w:sz w:val="24"/>
          <w:szCs w:val="24"/>
        </w:rPr>
      </w:pPr>
      <w:r>
        <w:rPr>
          <w:rFonts w:ascii="Times New Roman" w:hAnsi="Times New Roman"/>
          <w:b/>
          <w:bCs/>
          <w:sz w:val="24"/>
          <w:szCs w:val="24"/>
        </w:rPr>
        <w:t>重要内容提示：</w:t>
      </w:r>
    </w:p>
    <w:p>
      <w:pPr>
        <w:pStyle w:val="10"/>
        <w:numPr>
          <w:ilvl w:val="0"/>
          <w:numId w:val="1"/>
        </w:numPr>
        <w:snapToGrid w:val="0"/>
        <w:spacing w:line="400" w:lineRule="exact"/>
        <w:ind w:firstLineChars="0"/>
        <w:rPr>
          <w:rFonts w:ascii="Times New Roman" w:hAnsi="Times New Roman" w:eastAsia="宋体" w:cs="Times New Roman"/>
          <w:sz w:val="24"/>
          <w:szCs w:val="24"/>
        </w:rPr>
      </w:pPr>
      <w:r>
        <w:rPr>
          <w:rFonts w:ascii="Times New Roman" w:hAnsi="Times New Roman" w:eastAsia="宋体" w:cs="Times New Roman"/>
          <w:sz w:val="24"/>
          <w:szCs w:val="24"/>
        </w:rPr>
        <w:t>债权登记日：202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10</w:t>
      </w:r>
      <w:r>
        <w:rPr>
          <w:rFonts w:ascii="Times New Roman" w:hAnsi="Times New Roman" w:eastAsia="宋体" w:cs="Times New Roman"/>
          <w:sz w:val="24"/>
          <w:szCs w:val="24"/>
        </w:rPr>
        <w:t>日</w:t>
      </w:r>
      <w:r>
        <w:rPr>
          <w:rFonts w:hint="eastAsia" w:ascii="Times New Roman" w:hAnsi="Times New Roman" w:eastAsia="宋体" w:cs="Times New Roman"/>
          <w:sz w:val="24"/>
          <w:szCs w:val="24"/>
          <w:lang w:eastAsia="zh-CN"/>
        </w:rPr>
        <w:tab/>
      </w:r>
    </w:p>
    <w:p>
      <w:pPr>
        <w:pStyle w:val="10"/>
        <w:numPr>
          <w:ilvl w:val="0"/>
          <w:numId w:val="1"/>
        </w:numPr>
        <w:snapToGrid w:val="0"/>
        <w:spacing w:line="400" w:lineRule="exact"/>
        <w:ind w:firstLineChars="0"/>
        <w:rPr>
          <w:rFonts w:ascii="Times New Roman" w:hAnsi="Times New Roman" w:eastAsia="宋体" w:cs="Times New Roman"/>
          <w:sz w:val="24"/>
          <w:szCs w:val="24"/>
        </w:rPr>
      </w:pPr>
      <w:r>
        <w:rPr>
          <w:rFonts w:ascii="Times New Roman" w:hAnsi="Times New Roman" w:eastAsia="宋体" w:cs="Times New Roman"/>
          <w:sz w:val="24"/>
          <w:szCs w:val="24"/>
        </w:rPr>
        <w:t>本息兑付日：202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3</w:t>
      </w:r>
      <w:r>
        <w:rPr>
          <w:rFonts w:ascii="Times New Roman" w:hAnsi="Times New Roman" w:eastAsia="宋体" w:cs="Times New Roman"/>
          <w:sz w:val="24"/>
          <w:szCs w:val="24"/>
        </w:rPr>
        <w:t>日</w:t>
      </w:r>
    </w:p>
    <w:p>
      <w:pPr>
        <w:pStyle w:val="10"/>
        <w:numPr>
          <w:ilvl w:val="0"/>
          <w:numId w:val="1"/>
        </w:numPr>
        <w:snapToGrid w:val="0"/>
        <w:spacing w:line="400" w:lineRule="exact"/>
        <w:ind w:firstLineChars="0"/>
        <w:rPr>
          <w:rFonts w:ascii="Times New Roman" w:hAnsi="Times New Roman" w:eastAsia="宋体" w:cs="Times New Roman"/>
          <w:sz w:val="24"/>
          <w:szCs w:val="24"/>
        </w:rPr>
      </w:pPr>
      <w:r>
        <w:rPr>
          <w:rFonts w:ascii="Times New Roman" w:hAnsi="Times New Roman" w:eastAsia="宋体" w:cs="Times New Roman"/>
          <w:sz w:val="24"/>
          <w:szCs w:val="24"/>
        </w:rPr>
        <w:t>债券摘牌日：202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3</w:t>
      </w:r>
      <w:r>
        <w:rPr>
          <w:rFonts w:ascii="Times New Roman" w:hAnsi="Times New Roman" w:eastAsia="宋体" w:cs="Times New Roman"/>
          <w:sz w:val="24"/>
          <w:szCs w:val="24"/>
        </w:rPr>
        <w:t>日</w:t>
      </w:r>
    </w:p>
    <w:p>
      <w:pPr>
        <w:pStyle w:val="10"/>
        <w:snapToGrid w:val="0"/>
        <w:spacing w:line="400" w:lineRule="exact"/>
        <w:ind w:left="900" w:firstLine="0" w:firstLineChars="0"/>
        <w:rPr>
          <w:rFonts w:ascii="Times New Roman" w:hAnsi="Times New Roman" w:eastAsia="宋体" w:cs="Times New Roman"/>
          <w:sz w:val="24"/>
          <w:szCs w:val="24"/>
        </w:rPr>
      </w:pPr>
    </w:p>
    <w:p>
      <w:pPr>
        <w:widowControl/>
        <w:snapToGrid w:val="0"/>
        <w:spacing w:line="400" w:lineRule="exact"/>
        <w:ind w:firstLine="480" w:firstLineChars="200"/>
        <w:rPr>
          <w:rFonts w:ascii="Times New Roman" w:hAnsi="Times New Roman"/>
          <w:sz w:val="24"/>
          <w:szCs w:val="24"/>
        </w:rPr>
      </w:pPr>
      <w:r>
        <w:rPr>
          <w:rFonts w:hint="eastAsia" w:ascii="Times New Roman" w:hAnsi="Times New Roman"/>
          <w:sz w:val="24"/>
          <w:szCs w:val="24"/>
        </w:rPr>
        <w:t>海通证券股份有限公司202</w:t>
      </w:r>
      <w:r>
        <w:rPr>
          <w:rFonts w:hint="eastAsia" w:ascii="Times New Roman" w:hAnsi="Times New Roman"/>
          <w:sz w:val="24"/>
          <w:szCs w:val="24"/>
          <w:lang w:val="en-US" w:eastAsia="zh-CN"/>
        </w:rPr>
        <w:t>2</w:t>
      </w:r>
      <w:r>
        <w:rPr>
          <w:rFonts w:hint="eastAsia" w:ascii="Times New Roman" w:hAnsi="Times New Roman"/>
          <w:sz w:val="24"/>
          <w:szCs w:val="24"/>
        </w:rPr>
        <w:t>年面向专业投资者公开发行</w:t>
      </w:r>
      <w:r>
        <w:rPr>
          <w:rFonts w:hint="eastAsia" w:ascii="Times New Roman" w:hAnsi="Times New Roman"/>
          <w:sz w:val="24"/>
          <w:szCs w:val="24"/>
          <w:lang w:val="en-US" w:eastAsia="zh-CN"/>
        </w:rPr>
        <w:t>次级</w:t>
      </w:r>
      <w:r>
        <w:rPr>
          <w:rFonts w:hint="eastAsia" w:ascii="Times New Roman" w:hAnsi="Times New Roman"/>
          <w:sz w:val="24"/>
          <w:szCs w:val="24"/>
        </w:rPr>
        <w:t>债券（第</w:t>
      </w:r>
      <w:r>
        <w:rPr>
          <w:rFonts w:hint="eastAsia" w:ascii="Times New Roman" w:hAnsi="Times New Roman"/>
          <w:sz w:val="24"/>
          <w:szCs w:val="24"/>
          <w:lang w:val="en-US" w:eastAsia="zh-CN"/>
        </w:rPr>
        <w:t>一</w:t>
      </w:r>
      <w:r>
        <w:rPr>
          <w:rFonts w:hint="eastAsia" w:ascii="Times New Roman" w:hAnsi="Times New Roman"/>
          <w:sz w:val="24"/>
          <w:szCs w:val="24"/>
        </w:rPr>
        <w:t>期）</w:t>
      </w:r>
      <w:r>
        <w:rPr>
          <w:rFonts w:ascii="Times New Roman" w:hAnsi="Times New Roman"/>
          <w:sz w:val="24"/>
          <w:szCs w:val="24"/>
        </w:rPr>
        <w:t>（以下简称本期债券），将于20</w:t>
      </w:r>
      <w:r>
        <w:rPr>
          <w:rFonts w:hint="eastAsia" w:ascii="Times New Roman" w:hAnsi="Times New Roman"/>
          <w:sz w:val="24"/>
          <w:szCs w:val="24"/>
          <w:lang w:val="en-US" w:eastAsia="zh-CN"/>
        </w:rPr>
        <w:t>25</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w:t>
      </w:r>
      <w:r>
        <w:rPr>
          <w:rFonts w:hint="default" w:ascii="Times New Roman" w:hAnsi="Times New Roman"/>
          <w:sz w:val="24"/>
          <w:szCs w:val="24"/>
          <w:lang w:val="en-US" w:eastAsia="zh-CN"/>
        </w:rPr>
        <w:t>3</w:t>
      </w:r>
      <w:r>
        <w:rPr>
          <w:rFonts w:ascii="Times New Roman" w:hAnsi="Times New Roman"/>
          <w:sz w:val="24"/>
          <w:szCs w:val="24"/>
        </w:rPr>
        <w:t>日开始支付自</w:t>
      </w:r>
      <w:bookmarkStart w:id="0" w:name="OLE_LINK2"/>
      <w:bookmarkStart w:id="1" w:name="OLE_LINK1"/>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日至202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1</w:t>
      </w:r>
      <w:r>
        <w:rPr>
          <w:rFonts w:hint="eastAsia" w:ascii="Times New Roman" w:hAnsi="Times New Roman"/>
          <w:sz w:val="24"/>
          <w:szCs w:val="24"/>
        </w:rPr>
        <w:t>月</w:t>
      </w:r>
      <w:r>
        <w:rPr>
          <w:rFonts w:hint="eastAsia" w:ascii="Times New Roman" w:hAnsi="Times New Roman"/>
          <w:sz w:val="24"/>
          <w:szCs w:val="24"/>
          <w:lang w:val="en-US" w:eastAsia="zh-CN"/>
        </w:rPr>
        <w:t>1</w:t>
      </w:r>
      <w:r>
        <w:rPr>
          <w:rFonts w:hint="default" w:ascii="Times New Roman" w:hAnsi="Times New Roman"/>
          <w:sz w:val="24"/>
          <w:szCs w:val="24"/>
          <w:lang w:val="en-US" w:eastAsia="zh-CN"/>
        </w:rPr>
        <w:t>1</w:t>
      </w:r>
      <w:r>
        <w:rPr>
          <w:rFonts w:ascii="Times New Roman" w:hAnsi="Times New Roman"/>
          <w:sz w:val="24"/>
          <w:szCs w:val="24"/>
        </w:rPr>
        <w:t>日</w:t>
      </w:r>
      <w:bookmarkEnd w:id="0"/>
      <w:bookmarkEnd w:id="1"/>
      <w:r>
        <w:rPr>
          <w:rFonts w:ascii="Times New Roman" w:hAnsi="Times New Roman"/>
          <w:sz w:val="24"/>
          <w:szCs w:val="24"/>
        </w:rPr>
        <w:t>期间的利息和本期债券本金。为保证还本付息工作的顺利进行，现将有关事宜公告如下：</w:t>
      </w:r>
    </w:p>
    <w:p>
      <w:pPr>
        <w:widowControl/>
        <w:snapToGrid w:val="0"/>
        <w:spacing w:line="400" w:lineRule="exact"/>
        <w:ind w:firstLine="562" w:firstLineChars="200"/>
        <w:jc w:val="left"/>
        <w:rPr>
          <w:rFonts w:ascii="Times New Roman" w:hAnsi="Times New Roman"/>
          <w:b/>
          <w:bCs/>
          <w:sz w:val="28"/>
          <w:szCs w:val="28"/>
        </w:rPr>
      </w:pPr>
    </w:p>
    <w:p>
      <w:pPr>
        <w:widowControl/>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一、本期债券的基本情况</w:t>
      </w:r>
    </w:p>
    <w:p>
      <w:pPr>
        <w:widowControl/>
        <w:snapToGrid w:val="0"/>
        <w:spacing w:line="400" w:lineRule="exact"/>
        <w:ind w:firstLine="480" w:firstLineChars="200"/>
        <w:jc w:val="left"/>
        <w:rPr>
          <w:rFonts w:hint="default" w:ascii="Times New Roman" w:hAnsi="Times New Roman" w:eastAsia="宋体"/>
          <w:sz w:val="24"/>
          <w:szCs w:val="24"/>
          <w:lang w:val="en-US" w:eastAsia="zh-CN"/>
        </w:rPr>
      </w:pPr>
      <w:r>
        <w:rPr>
          <w:rFonts w:ascii="Times New Roman" w:hAnsi="Times New Roman"/>
          <w:sz w:val="24"/>
          <w:szCs w:val="24"/>
        </w:rPr>
        <w:t>1、债券名称：</w:t>
      </w:r>
      <w:r>
        <w:rPr>
          <w:rFonts w:hint="eastAsia" w:ascii="Times New Roman" w:hAnsi="Times New Roman"/>
          <w:sz w:val="24"/>
          <w:szCs w:val="24"/>
        </w:rPr>
        <w:t>海通证券股份有限公司202</w:t>
      </w:r>
      <w:r>
        <w:rPr>
          <w:rFonts w:hint="eastAsia" w:ascii="Times New Roman" w:hAnsi="Times New Roman"/>
          <w:sz w:val="24"/>
          <w:szCs w:val="24"/>
          <w:lang w:val="en-US" w:eastAsia="zh-CN"/>
        </w:rPr>
        <w:t>2</w:t>
      </w:r>
      <w:r>
        <w:rPr>
          <w:rFonts w:hint="eastAsia" w:ascii="Times New Roman" w:hAnsi="Times New Roman"/>
          <w:sz w:val="24"/>
          <w:szCs w:val="24"/>
        </w:rPr>
        <w:t>年面向专业投资者公开发行</w:t>
      </w:r>
      <w:r>
        <w:rPr>
          <w:rFonts w:hint="eastAsia" w:ascii="Times New Roman" w:hAnsi="Times New Roman"/>
          <w:sz w:val="24"/>
          <w:szCs w:val="24"/>
          <w:lang w:val="en-US" w:eastAsia="zh-CN"/>
        </w:rPr>
        <w:t>次级</w:t>
      </w:r>
      <w:r>
        <w:rPr>
          <w:rFonts w:hint="eastAsia" w:ascii="Times New Roman" w:hAnsi="Times New Roman"/>
          <w:sz w:val="24"/>
          <w:szCs w:val="24"/>
        </w:rPr>
        <w:t>债券（第</w:t>
      </w:r>
      <w:r>
        <w:rPr>
          <w:rFonts w:hint="eastAsia" w:ascii="Times New Roman" w:hAnsi="Times New Roman"/>
          <w:sz w:val="24"/>
          <w:szCs w:val="24"/>
          <w:lang w:val="en-US" w:eastAsia="zh-CN"/>
        </w:rPr>
        <w:t>一</w:t>
      </w:r>
      <w:r>
        <w:rPr>
          <w:rFonts w:hint="eastAsia" w:ascii="Times New Roman" w:hAnsi="Times New Roman"/>
          <w:sz w:val="24"/>
          <w:szCs w:val="24"/>
        </w:rPr>
        <w:t>期）</w:t>
      </w:r>
    </w:p>
    <w:p>
      <w:pPr>
        <w:widowControl/>
        <w:snapToGrid w:val="0"/>
        <w:spacing w:line="400" w:lineRule="exact"/>
        <w:ind w:firstLine="480" w:firstLineChars="200"/>
        <w:jc w:val="left"/>
        <w:rPr>
          <w:rFonts w:hint="eastAsia" w:ascii="Times New Roman" w:hAnsi="Times New Roman" w:eastAsia="宋体"/>
          <w:sz w:val="24"/>
          <w:szCs w:val="24"/>
          <w:lang w:val="en-US" w:eastAsia="zh-CN"/>
        </w:rPr>
      </w:pPr>
      <w:r>
        <w:rPr>
          <w:rFonts w:ascii="Times New Roman" w:hAnsi="Times New Roman"/>
          <w:sz w:val="24"/>
          <w:szCs w:val="24"/>
        </w:rPr>
        <w:t>2、债券简称：</w:t>
      </w:r>
      <w:r>
        <w:rPr>
          <w:rFonts w:hint="eastAsia" w:ascii="Times New Roman" w:hAnsi="Times New Roman"/>
          <w:sz w:val="24"/>
          <w:szCs w:val="24"/>
          <w:lang w:val="en-US" w:eastAsia="zh-CN"/>
        </w:rPr>
        <w:t>22</w:t>
      </w:r>
      <w:r>
        <w:rPr>
          <w:rFonts w:hint="eastAsia" w:ascii="Times New Roman" w:hAnsi="Times New Roman"/>
          <w:sz w:val="24"/>
          <w:szCs w:val="24"/>
        </w:rPr>
        <w:t>海通</w:t>
      </w:r>
      <w:r>
        <w:rPr>
          <w:rFonts w:hint="eastAsia" w:ascii="Times New Roman" w:hAnsi="Times New Roman"/>
          <w:sz w:val="24"/>
          <w:szCs w:val="24"/>
          <w:lang w:val="en-US" w:eastAsia="zh-CN"/>
        </w:rPr>
        <w:t>C1</w:t>
      </w:r>
    </w:p>
    <w:p>
      <w:pPr>
        <w:widowControl/>
        <w:snapToGrid w:val="0"/>
        <w:spacing w:line="400" w:lineRule="exact"/>
        <w:ind w:firstLine="480" w:firstLineChars="200"/>
        <w:jc w:val="left"/>
        <w:rPr>
          <w:rFonts w:hint="default" w:ascii="Times New Roman" w:hAnsi="Times New Roman" w:eastAsia="宋体"/>
          <w:sz w:val="24"/>
          <w:szCs w:val="24"/>
          <w:lang w:val="en-US" w:eastAsia="zh-CN"/>
        </w:rPr>
      </w:pPr>
      <w:r>
        <w:rPr>
          <w:rFonts w:ascii="Times New Roman" w:hAnsi="Times New Roman"/>
          <w:sz w:val="24"/>
          <w:szCs w:val="24"/>
        </w:rPr>
        <w:t>3、债券代码：</w:t>
      </w:r>
      <w:r>
        <w:rPr>
          <w:rFonts w:hint="eastAsia" w:ascii="Times New Roman" w:hAnsi="Times New Roman"/>
          <w:sz w:val="24"/>
          <w:szCs w:val="24"/>
          <w:lang w:val="en-US" w:eastAsia="zh-CN"/>
        </w:rPr>
        <w:t>185219</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4、发行人：海通证券股份有限公司</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5、发行总额：人民币</w:t>
      </w:r>
      <w:r>
        <w:rPr>
          <w:rFonts w:hint="eastAsia" w:ascii="Times New Roman" w:hAnsi="Times New Roman"/>
          <w:sz w:val="24"/>
          <w:szCs w:val="24"/>
          <w:lang w:val="en-US" w:eastAsia="zh-CN"/>
        </w:rPr>
        <w:t>50.00</w:t>
      </w:r>
      <w:r>
        <w:rPr>
          <w:rFonts w:ascii="Times New Roman" w:hAnsi="Times New Roman"/>
          <w:sz w:val="24"/>
          <w:szCs w:val="24"/>
        </w:rPr>
        <w:t>亿元</w:t>
      </w:r>
    </w:p>
    <w:p>
      <w:pPr>
        <w:widowControl/>
        <w:snapToGrid w:val="0"/>
        <w:spacing w:line="400" w:lineRule="exact"/>
        <w:ind w:firstLine="480" w:firstLineChars="200"/>
        <w:jc w:val="left"/>
        <w:rPr>
          <w:rFonts w:hint="eastAsia" w:ascii="Times New Roman" w:hAnsi="Times New Roman" w:eastAsia="宋体"/>
          <w:sz w:val="24"/>
          <w:szCs w:val="24"/>
          <w:lang w:val="en-US" w:eastAsia="zh-CN"/>
        </w:rPr>
      </w:pPr>
      <w:r>
        <w:rPr>
          <w:rFonts w:ascii="Times New Roman" w:hAnsi="Times New Roman"/>
          <w:sz w:val="24"/>
          <w:szCs w:val="24"/>
        </w:rPr>
        <w:t>6、债券期限：</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期</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7、票面利率：</w:t>
      </w:r>
      <w:r>
        <w:rPr>
          <w:rFonts w:hint="eastAsia" w:ascii="Times New Roman" w:hAnsi="Times New Roman"/>
          <w:sz w:val="24"/>
          <w:szCs w:val="24"/>
          <w:lang w:val="en-US" w:eastAsia="zh-CN"/>
        </w:rPr>
        <w:t>3.18</w:t>
      </w:r>
      <w:r>
        <w:rPr>
          <w:rFonts w:ascii="Times New Roman" w:hAnsi="Times New Roman"/>
          <w:sz w:val="24"/>
          <w:szCs w:val="24"/>
        </w:rPr>
        <w:t>%</w:t>
      </w:r>
    </w:p>
    <w:p>
      <w:pPr>
        <w:widowControl/>
        <w:snapToGrid w:val="0"/>
        <w:spacing w:line="400" w:lineRule="exact"/>
        <w:ind w:firstLine="480" w:firstLineChars="200"/>
        <w:rPr>
          <w:rFonts w:hint="eastAsia" w:ascii="Times New Roman" w:hAnsi="Times New Roman" w:eastAsia="宋体"/>
          <w:sz w:val="24"/>
          <w:szCs w:val="24"/>
          <w:lang w:val="en-US" w:eastAsia="zh-CN"/>
        </w:rPr>
      </w:pPr>
      <w:r>
        <w:rPr>
          <w:rFonts w:ascii="Times New Roman" w:hAnsi="Times New Roman"/>
          <w:sz w:val="24"/>
          <w:szCs w:val="24"/>
        </w:rPr>
        <w:t>8、计息期限及付息日：本期债券计息期限自20</w:t>
      </w:r>
      <w:r>
        <w:rPr>
          <w:rFonts w:hint="eastAsia" w:ascii="Times New Roman" w:hAnsi="Times New Roman"/>
          <w:sz w:val="24"/>
          <w:szCs w:val="24"/>
          <w:lang w:val="en-US" w:eastAsia="zh-CN"/>
        </w:rPr>
        <w:t>22</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日至202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w:t>
      </w:r>
      <w:r>
        <w:rPr>
          <w:rFonts w:hint="default" w:ascii="Times New Roman" w:hAnsi="Times New Roman"/>
          <w:sz w:val="24"/>
          <w:szCs w:val="24"/>
          <w:lang w:val="en-US" w:eastAsia="zh-CN"/>
        </w:rPr>
        <w:t>1</w:t>
      </w:r>
      <w:r>
        <w:rPr>
          <w:rFonts w:ascii="Times New Roman" w:hAnsi="Times New Roman"/>
          <w:sz w:val="24"/>
          <w:szCs w:val="24"/>
        </w:rPr>
        <w:t>日；本期债券的付息日为</w:t>
      </w:r>
      <w:r>
        <w:rPr>
          <w:rFonts w:hint="eastAsia" w:ascii="Times New Roman" w:hAnsi="Times New Roman"/>
          <w:sz w:val="24"/>
          <w:szCs w:val="24"/>
        </w:rPr>
        <w:t>计息期限的每年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日（如遇法定节假日，则顺延至下一个交易日</w:t>
      </w:r>
      <w:r>
        <w:rPr>
          <w:rFonts w:hint="eastAsia" w:ascii="Times New Roman" w:hAnsi="Times New Roman"/>
          <w:sz w:val="24"/>
          <w:szCs w:val="24"/>
        </w:rPr>
        <w:t>）</w:t>
      </w:r>
      <w:r>
        <w:rPr>
          <w:rFonts w:ascii="Times New Roman" w:hAnsi="Times New Roman"/>
          <w:sz w:val="24"/>
          <w:szCs w:val="24"/>
        </w:rPr>
        <w:t>。</w:t>
      </w:r>
    </w:p>
    <w:p>
      <w:pPr>
        <w:widowControl/>
        <w:snapToGrid w:val="0"/>
        <w:spacing w:line="400" w:lineRule="exact"/>
        <w:ind w:firstLine="480" w:firstLineChars="200"/>
        <w:jc w:val="left"/>
        <w:rPr>
          <w:rFonts w:ascii="Times New Roman" w:hAnsi="Times New Roman"/>
          <w:sz w:val="24"/>
          <w:szCs w:val="24"/>
        </w:rPr>
      </w:pPr>
    </w:p>
    <w:p>
      <w:pPr>
        <w:widowControl/>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二、本期债券本年度兑付兑息情况</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1、本年度计息期限：202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日至202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1</w:t>
      </w:r>
      <w:r>
        <w:rPr>
          <w:rFonts w:hint="default" w:ascii="Times New Roman" w:hAnsi="Times New Roman"/>
          <w:sz w:val="24"/>
          <w:szCs w:val="24"/>
          <w:lang w:val="en-US" w:eastAsia="zh-CN"/>
        </w:rPr>
        <w:t>1</w:t>
      </w:r>
      <w:r>
        <w:rPr>
          <w:rFonts w:ascii="Times New Roman" w:hAnsi="Times New Roman"/>
          <w:sz w:val="24"/>
          <w:szCs w:val="24"/>
        </w:rPr>
        <w:t>日。</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2、票面利率及兑付金额：本期债券票面利率（计息年利率）为</w:t>
      </w:r>
      <w:r>
        <w:rPr>
          <w:rFonts w:hint="eastAsia" w:ascii="Times New Roman" w:hAnsi="Times New Roman"/>
          <w:sz w:val="24"/>
          <w:szCs w:val="24"/>
          <w:lang w:val="en-US" w:eastAsia="zh-CN"/>
        </w:rPr>
        <w:t>3.18</w:t>
      </w:r>
      <w:r>
        <w:rPr>
          <w:rFonts w:ascii="Times New Roman" w:hAnsi="Times New Roman"/>
          <w:sz w:val="24"/>
          <w:szCs w:val="24"/>
        </w:rPr>
        <w:t>%，每手本期债券兑付本金为1,000元，派发利息为</w:t>
      </w:r>
      <w:r>
        <w:rPr>
          <w:rFonts w:hint="eastAsia" w:ascii="Times New Roman" w:hAnsi="Times New Roman"/>
          <w:sz w:val="24"/>
          <w:szCs w:val="24"/>
          <w:lang w:val="en-US" w:eastAsia="zh-CN"/>
        </w:rPr>
        <w:t>31.80</w:t>
      </w:r>
      <w:r>
        <w:rPr>
          <w:rFonts w:ascii="Times New Roman" w:hAnsi="Times New Roman"/>
          <w:sz w:val="24"/>
          <w:szCs w:val="24"/>
        </w:rPr>
        <w:t>元（含税）。</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3、债权登记日：202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1</w:t>
      </w:r>
      <w:r>
        <w:rPr>
          <w:rFonts w:hint="eastAsia"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日。截至该日收市后，本期债券投资者对托管账户所记载的债券余额享有本年度利息和剩余全部本金。</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4、本息兑付日：202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1月1</w:t>
      </w:r>
      <w:r>
        <w:rPr>
          <w:rFonts w:hint="default" w:ascii="Times New Roman" w:hAnsi="Times New Roman"/>
          <w:sz w:val="24"/>
          <w:szCs w:val="24"/>
          <w:lang w:val="en-US" w:eastAsia="zh-CN"/>
        </w:rPr>
        <w:t>3</w:t>
      </w:r>
      <w:r>
        <w:rPr>
          <w:rFonts w:ascii="Times New Roman" w:hAnsi="Times New Roman"/>
          <w:sz w:val="24"/>
          <w:szCs w:val="24"/>
        </w:rPr>
        <w:t>日。</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5、债券摘牌日：</w:t>
      </w:r>
      <w:r>
        <w:rPr>
          <w:rFonts w:hint="eastAsia" w:ascii="Times New Roman" w:hAnsi="Times New Roman"/>
          <w:sz w:val="24"/>
          <w:szCs w:val="24"/>
        </w:rPr>
        <w:t>202</w:t>
      </w:r>
      <w:r>
        <w:rPr>
          <w:rFonts w:hint="eastAsia" w:ascii="Times New Roman" w:hAnsi="Times New Roman"/>
          <w:sz w:val="24"/>
          <w:szCs w:val="24"/>
          <w:lang w:val="en-US" w:eastAsia="zh-CN"/>
        </w:rPr>
        <w:t>5</w:t>
      </w:r>
      <w:r>
        <w:rPr>
          <w:rFonts w:hint="eastAsia" w:ascii="Times New Roman" w:hAnsi="Times New Roman"/>
          <w:sz w:val="24"/>
          <w:szCs w:val="24"/>
        </w:rPr>
        <w:t>年</w:t>
      </w:r>
      <w:r>
        <w:rPr>
          <w:rFonts w:hint="eastAsia" w:ascii="Times New Roman" w:hAnsi="Times New Roman"/>
          <w:sz w:val="24"/>
          <w:szCs w:val="24"/>
          <w:lang w:val="en-US" w:eastAsia="zh-CN"/>
        </w:rPr>
        <w:t>1</w:t>
      </w:r>
      <w:r>
        <w:rPr>
          <w:rFonts w:hint="eastAsia" w:ascii="Times New Roman" w:hAnsi="Times New Roman"/>
          <w:sz w:val="24"/>
          <w:szCs w:val="24"/>
        </w:rPr>
        <w:t>月</w:t>
      </w:r>
      <w:r>
        <w:rPr>
          <w:rFonts w:hint="eastAsia" w:ascii="Times New Roman" w:hAnsi="Times New Roman"/>
          <w:sz w:val="24"/>
          <w:szCs w:val="24"/>
          <w:lang w:val="en-US" w:eastAsia="zh-CN"/>
        </w:rPr>
        <w:t>1</w:t>
      </w:r>
      <w:r>
        <w:rPr>
          <w:rFonts w:hint="default" w:ascii="Times New Roman" w:hAnsi="Times New Roman"/>
          <w:sz w:val="24"/>
          <w:szCs w:val="24"/>
          <w:lang w:val="en-US" w:eastAsia="zh-CN"/>
        </w:rPr>
        <w:t>3</w:t>
      </w:r>
      <w:r>
        <w:rPr>
          <w:rFonts w:hint="eastAsia" w:ascii="Times New Roman" w:hAnsi="Times New Roman"/>
          <w:sz w:val="24"/>
          <w:szCs w:val="24"/>
        </w:rPr>
        <w:t>日</w:t>
      </w:r>
      <w:r>
        <w:rPr>
          <w:rFonts w:ascii="Times New Roman" w:hAnsi="Times New Roman"/>
          <w:sz w:val="24"/>
          <w:szCs w:val="24"/>
        </w:rPr>
        <w:t>。</w:t>
      </w:r>
    </w:p>
    <w:p>
      <w:pPr>
        <w:widowControl/>
        <w:snapToGrid w:val="0"/>
        <w:spacing w:line="400" w:lineRule="exact"/>
        <w:ind w:firstLine="480" w:firstLineChars="200"/>
        <w:jc w:val="left"/>
        <w:rPr>
          <w:rFonts w:ascii="Times New Roman" w:hAnsi="Times New Roman"/>
          <w:sz w:val="24"/>
          <w:szCs w:val="24"/>
        </w:rPr>
      </w:pPr>
    </w:p>
    <w:p>
      <w:pPr>
        <w:widowControl/>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三、兑付、兑息办法</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一）本公司将与中国证券登记结算上海分公司签订委托代理债券兑付、兑息协议，委托中国证券登记结算上海分公司进行债券兑付、兑息。如本公司未按时足额将债券兑付、兑息资金划入中国证券登记结算上海分公司指定的银行账户，则中国证券登记结算上海分公司将根据协议终止委托代理债券兑付、兑息服务，后续兑付、兑息工作由本公司自行负责办理，相关实施事宜以本公司的公告为准。公司将在本期债券兑付、兑息日2个交易日前将本期债券的本金及利息足额划付至中国证券登记结算上海分公司指定的银行账户。</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（二）中国证券登记结算上海分公司在收到款项后，通过资金结算系统将债券本金及利息划付给相应的兑付机构（证券公司或中证登上海分公司认可的其他机构），投资者于兑付机构领取债券本金及利息。</w:t>
      </w:r>
    </w:p>
    <w:p>
      <w:pPr>
        <w:widowControl/>
        <w:snapToGrid w:val="0"/>
        <w:spacing w:line="400" w:lineRule="exact"/>
        <w:ind w:firstLine="480" w:firstLineChars="200"/>
        <w:jc w:val="left"/>
        <w:rPr>
          <w:rFonts w:ascii="Times New Roman" w:hAnsi="Times New Roman"/>
          <w:sz w:val="24"/>
          <w:szCs w:val="24"/>
        </w:rPr>
      </w:pPr>
    </w:p>
    <w:p>
      <w:pPr>
        <w:widowControl/>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四、关于本期债券企业债券利息所得税的征收</w:t>
      </w:r>
    </w:p>
    <w:p>
      <w:pPr>
        <w:widowControl/>
        <w:snapToGrid w:val="0"/>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（一）关于向个人投资者征收企业债券利息所得税的说明</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根据《中华人民共和国个人所得税法》和《企业债券管理条例》等相关法规和文件的规定，本期债券个人投资者应就其获得的债券利息所得缴纳企业债券利息个人所得税。本期债券发行人已在本期债券募集说明书中对上述规定予以明确说明。</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按照《国家税务总局关于加强企业债券利息个人所得税代扣代缴工作的通知》（国税函[2003]612号）规定，本期债券利息个人所得税将统一由各兑付机构负责代扣代缴并直接向各兑付机构所在地的税务部门缴付。请各兑付机构按照个人所得税法的有关规定做好代扣代缴个人所得税工作。如各兑付机构未履行上述债券利息个人所得税的代扣代缴义务，由此产生的法律责任由各兑付机构自行承担。</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本期债券利息个人所得税的征缴说明如下：</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（1）纳税人：本期债券的个人投资者</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（2）征税对象：本期债券的利息所得</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（3）征税税率：按利息额的20%征收</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（4）征税环节：个人投资者在付息网点领取利息时由付息网点一次性扣除</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（5）代扣代缴义务人：负责本期债券付息工作的各付息网点</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（6）本期债券利息税的征管部门：各付息网点所在地的税务部门</w:t>
      </w:r>
    </w:p>
    <w:p>
      <w:pPr>
        <w:widowControl/>
        <w:snapToGrid w:val="0"/>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（二）关于向非居民企业征收企业债券利息所得税的说明</w:t>
      </w:r>
    </w:p>
    <w:p>
      <w:pPr>
        <w:widowControl/>
        <w:snapToGrid w:val="0"/>
        <w:spacing w:line="400" w:lineRule="exact"/>
        <w:ind w:firstLine="480" w:firstLineChars="200"/>
        <w:rPr>
          <w:rFonts w:ascii="Times New Roman" w:hAnsi="Times New Roman"/>
          <w:sz w:val="24"/>
          <w:szCs w:val="24"/>
        </w:rPr>
      </w:pPr>
      <w:r>
        <w:rPr>
          <w:rFonts w:hint="eastAsia" w:ascii="Times New Roman" w:hAnsi="Times New Roman"/>
          <w:sz w:val="24"/>
          <w:szCs w:val="24"/>
        </w:rPr>
        <w:t>根据2021年11月22日发布的《关于延续境外机构投资境内债券市场企业所得税、增值税政策的公告》（财政部税务总局公告2021年34号），自2021年11月7日起至2025年12月31日止，对境外机构投资境内债券市场取得的债券利息收入暂免征收企业所得税和增值税。上述暂免征收企业所得税的范围不包括境外机构在境内设立的机构、场所取得的与该机构、场所有实际联系的债券利息。</w:t>
      </w:r>
    </w:p>
    <w:p>
      <w:pPr>
        <w:widowControl/>
        <w:snapToGrid w:val="0"/>
        <w:spacing w:line="400" w:lineRule="exact"/>
        <w:ind w:firstLine="480" w:firstLineChars="200"/>
        <w:rPr>
          <w:rFonts w:ascii="Times New Roman" w:hAnsi="Times New Roman"/>
          <w:sz w:val="24"/>
          <w:szCs w:val="24"/>
        </w:rPr>
      </w:pPr>
    </w:p>
    <w:p>
      <w:pPr>
        <w:widowControl/>
        <w:snapToGrid w:val="0"/>
        <w:spacing w:line="400" w:lineRule="exact"/>
        <w:ind w:firstLine="562" w:firstLineChars="200"/>
        <w:jc w:val="left"/>
        <w:rPr>
          <w:rFonts w:ascii="Times New Roman" w:hAnsi="Times New Roman"/>
          <w:b/>
          <w:bCs/>
          <w:sz w:val="28"/>
          <w:szCs w:val="28"/>
        </w:rPr>
      </w:pPr>
      <w:r>
        <w:rPr>
          <w:rFonts w:ascii="Times New Roman" w:hAnsi="Times New Roman"/>
          <w:b/>
          <w:bCs/>
          <w:sz w:val="28"/>
          <w:szCs w:val="28"/>
        </w:rPr>
        <w:t>五、相关机构及联系方式</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1、发行人：海通证券股份有限公司</w:t>
      </w:r>
    </w:p>
    <w:p>
      <w:pPr>
        <w:widowControl/>
        <w:snapToGrid w:val="0"/>
        <w:spacing w:line="400" w:lineRule="exact"/>
        <w:ind w:firstLine="480" w:firstLineChars="200"/>
        <w:jc w:val="left"/>
        <w:rPr>
          <w:rFonts w:hint="eastAsia" w:ascii="Times New Roman" w:hAnsi="Times New Roman"/>
          <w:sz w:val="24"/>
          <w:szCs w:val="24"/>
        </w:rPr>
      </w:pPr>
      <w:r>
        <w:rPr>
          <w:rFonts w:hint="eastAsia" w:ascii="Times New Roman" w:hAnsi="Times New Roman"/>
          <w:sz w:val="24"/>
          <w:szCs w:val="24"/>
        </w:rPr>
        <w:t>地址：上海市黄浦区中山南路888号海通外滩金融广场A座8层</w:t>
      </w:r>
    </w:p>
    <w:p>
      <w:pPr>
        <w:widowControl/>
        <w:snapToGrid w:val="0"/>
        <w:spacing w:line="400" w:lineRule="exact"/>
        <w:ind w:firstLine="480" w:firstLineChars="200"/>
        <w:jc w:val="left"/>
        <w:rPr>
          <w:rFonts w:hint="eastAsia" w:ascii="Times New Roman" w:hAnsi="Times New Roman"/>
          <w:sz w:val="24"/>
          <w:szCs w:val="24"/>
        </w:rPr>
      </w:pPr>
      <w:r>
        <w:rPr>
          <w:rFonts w:hint="eastAsia" w:ascii="Times New Roman" w:hAnsi="Times New Roman"/>
          <w:sz w:val="24"/>
          <w:szCs w:val="24"/>
        </w:rPr>
        <w:t>联系人：蒋泽云、张列锋、叶亮</w:t>
      </w:r>
    </w:p>
    <w:p>
      <w:pPr>
        <w:widowControl/>
        <w:snapToGrid w:val="0"/>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联系电话：021-23185108</w:t>
      </w:r>
    </w:p>
    <w:p>
      <w:pPr>
        <w:widowControl/>
        <w:snapToGrid w:val="0"/>
        <w:spacing w:line="400" w:lineRule="exact"/>
        <w:ind w:firstLine="480" w:firstLineChars="200"/>
        <w:jc w:val="left"/>
        <w:rPr>
          <w:rFonts w:hint="eastAsia" w:ascii="Times New Roman" w:hAnsi="Times New Roman"/>
          <w:sz w:val="24"/>
          <w:szCs w:val="24"/>
        </w:rPr>
      </w:pPr>
      <w:r>
        <w:rPr>
          <w:rFonts w:hint="eastAsia" w:ascii="Times New Roman" w:hAnsi="Times New Roman"/>
          <w:sz w:val="24"/>
          <w:szCs w:val="24"/>
        </w:rPr>
        <w:t>2、受托管理人：中信证券股份有限公司</w:t>
      </w:r>
    </w:p>
    <w:p>
      <w:pPr>
        <w:widowControl/>
        <w:snapToGrid w:val="0"/>
        <w:spacing w:line="400" w:lineRule="exact"/>
        <w:ind w:firstLine="480" w:firstLineChars="200"/>
        <w:jc w:val="left"/>
        <w:rPr>
          <w:rFonts w:hint="eastAsia" w:ascii="Times New Roman" w:hAnsi="Times New Roman"/>
          <w:sz w:val="24"/>
          <w:szCs w:val="24"/>
        </w:rPr>
      </w:pPr>
      <w:r>
        <w:rPr>
          <w:rFonts w:hint="eastAsia" w:ascii="Times New Roman" w:hAnsi="Times New Roman"/>
          <w:sz w:val="24"/>
          <w:szCs w:val="24"/>
        </w:rPr>
        <w:t>地址：北京市朝阳区亮马桥路48号中信证券大厦22、23层</w:t>
      </w:r>
    </w:p>
    <w:p>
      <w:pPr>
        <w:widowControl/>
        <w:snapToGrid w:val="0"/>
        <w:spacing w:line="400" w:lineRule="exact"/>
        <w:ind w:firstLine="480" w:firstLineChars="200"/>
        <w:jc w:val="left"/>
        <w:rPr>
          <w:rFonts w:hint="eastAsia" w:ascii="Times New Roman" w:hAnsi="Times New Roman"/>
          <w:sz w:val="24"/>
          <w:szCs w:val="24"/>
        </w:rPr>
      </w:pPr>
      <w:r>
        <w:rPr>
          <w:rFonts w:hint="eastAsia" w:ascii="Times New Roman" w:hAnsi="Times New Roman"/>
          <w:sz w:val="24"/>
          <w:szCs w:val="24"/>
        </w:rPr>
        <w:t>联系人：聂磊、陈莹娟、祁继华、康雅然</w:t>
      </w:r>
    </w:p>
    <w:p>
      <w:pPr>
        <w:widowControl/>
        <w:snapToGrid w:val="0"/>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联系电话：010-60838888</w:t>
      </w: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3、托管人：中国证券登记结算有限责任公司上海分公司</w:t>
      </w:r>
    </w:p>
    <w:p>
      <w:pPr>
        <w:widowControl/>
        <w:snapToGrid w:val="0"/>
        <w:spacing w:line="400" w:lineRule="exact"/>
        <w:ind w:firstLine="480" w:firstLineChars="200"/>
        <w:jc w:val="left"/>
        <w:rPr>
          <w:rFonts w:ascii="Times New Roman" w:hAnsi="Times New Roman"/>
          <w:sz w:val="24"/>
          <w:szCs w:val="24"/>
        </w:rPr>
      </w:pPr>
    </w:p>
    <w:p>
      <w:pPr>
        <w:widowControl/>
        <w:snapToGrid w:val="0"/>
        <w:spacing w:line="400" w:lineRule="exact"/>
        <w:ind w:firstLine="480" w:firstLineChars="200"/>
        <w:jc w:val="left"/>
        <w:rPr>
          <w:rFonts w:ascii="Times New Roman" w:hAnsi="Times New Roman"/>
          <w:sz w:val="24"/>
          <w:szCs w:val="24"/>
        </w:rPr>
      </w:pPr>
      <w:r>
        <w:rPr>
          <w:rFonts w:ascii="Times New Roman" w:hAnsi="Times New Roman"/>
          <w:sz w:val="24"/>
          <w:szCs w:val="24"/>
        </w:rPr>
        <w:t>特此公告。</w:t>
      </w:r>
    </w:p>
    <w:p>
      <w:pPr>
        <w:widowControl/>
        <w:snapToGrid w:val="0"/>
        <w:spacing w:line="400" w:lineRule="exact"/>
        <w:ind w:firstLine="480" w:firstLineChars="200"/>
        <w:jc w:val="left"/>
        <w:rPr>
          <w:rFonts w:ascii="Times New Roman" w:hAnsi="Times New Roman"/>
          <w:sz w:val="24"/>
          <w:szCs w:val="24"/>
        </w:rPr>
      </w:pPr>
    </w:p>
    <w:p>
      <w:pPr>
        <w:widowControl/>
        <w:jc w:val="left"/>
        <w:rPr>
          <w:rFonts w:ascii="Times New Roman" w:hAnsi="Times New Roman"/>
          <w:sz w:val="24"/>
          <w:szCs w:val="24"/>
        </w:rPr>
      </w:pPr>
      <w:r>
        <w:rPr>
          <w:rFonts w:ascii="Times New Roman" w:hAnsi="Times New Roman"/>
          <w:sz w:val="24"/>
          <w:szCs w:val="24"/>
        </w:rPr>
        <w:br w:type="page"/>
      </w:r>
    </w:p>
    <w:p>
      <w:pPr>
        <w:spacing w:line="360" w:lineRule="auto"/>
        <w:jc w:val="left"/>
        <w:rPr>
          <w:rFonts w:ascii="Times New Roman" w:hAnsi="Times New Roman"/>
          <w:sz w:val="24"/>
        </w:rPr>
      </w:pPr>
      <w:r>
        <w:rPr>
          <w:rFonts w:ascii="Times New Roman" w:hAnsi="Times New Roman"/>
          <w:sz w:val="24"/>
        </w:rPr>
        <w:t>（本页无正文，为《</w:t>
      </w:r>
      <w:r>
        <w:rPr>
          <w:rFonts w:hint="eastAsia" w:ascii="Times New Roman" w:hAnsi="Times New Roman"/>
          <w:sz w:val="24"/>
        </w:rPr>
        <w:t>海通证券股份有限公司202</w:t>
      </w:r>
      <w:r>
        <w:rPr>
          <w:rFonts w:hint="eastAsia" w:ascii="Times New Roman" w:hAnsi="Times New Roman"/>
          <w:sz w:val="24"/>
          <w:lang w:val="en-US" w:eastAsia="zh-CN"/>
        </w:rPr>
        <w:t>2</w:t>
      </w:r>
      <w:r>
        <w:rPr>
          <w:rFonts w:hint="eastAsia" w:ascii="Times New Roman" w:hAnsi="Times New Roman"/>
          <w:sz w:val="24"/>
        </w:rPr>
        <w:t>年面向专业投资者公开发行</w:t>
      </w:r>
      <w:r>
        <w:rPr>
          <w:rFonts w:hint="eastAsia" w:ascii="Times New Roman" w:hAnsi="Times New Roman"/>
          <w:sz w:val="24"/>
          <w:lang w:val="en-US" w:eastAsia="zh-CN"/>
        </w:rPr>
        <w:t>次级</w:t>
      </w:r>
      <w:r>
        <w:rPr>
          <w:rFonts w:hint="eastAsia" w:ascii="Times New Roman" w:hAnsi="Times New Roman"/>
          <w:sz w:val="24"/>
        </w:rPr>
        <w:t>债券（第</w:t>
      </w:r>
      <w:r>
        <w:rPr>
          <w:rFonts w:hint="eastAsia" w:ascii="Times New Roman" w:hAnsi="Times New Roman"/>
          <w:sz w:val="24"/>
          <w:lang w:val="en-US" w:eastAsia="zh-CN"/>
        </w:rPr>
        <w:t>一期）</w:t>
      </w:r>
      <w:r>
        <w:rPr>
          <w:rFonts w:hint="eastAsia" w:ascii="Times New Roman" w:hAnsi="Times New Roman"/>
          <w:sz w:val="24"/>
        </w:rPr>
        <w:t>202</w:t>
      </w:r>
      <w:r>
        <w:rPr>
          <w:rFonts w:hint="eastAsia" w:ascii="Times New Roman" w:hAnsi="Times New Roman"/>
          <w:sz w:val="24"/>
          <w:lang w:val="en-US" w:eastAsia="zh-CN"/>
        </w:rPr>
        <w:t>5</w:t>
      </w:r>
      <w:r>
        <w:rPr>
          <w:rFonts w:hint="eastAsia" w:ascii="Times New Roman" w:hAnsi="Times New Roman"/>
          <w:sz w:val="24"/>
        </w:rPr>
        <w:t>年本息兑付及摘牌公告</w:t>
      </w:r>
      <w:r>
        <w:rPr>
          <w:rFonts w:ascii="Times New Roman" w:hAnsi="Times New Roman"/>
          <w:sz w:val="24"/>
        </w:rPr>
        <w:t>》之盖章页）</w:t>
      </w:r>
    </w:p>
    <w:p>
      <w:pPr>
        <w:spacing w:before="312" w:beforeLines="100" w:after="312" w:afterLines="100" w:line="300" w:lineRule="auto"/>
        <w:ind w:firstLine="435"/>
        <w:rPr>
          <w:rFonts w:hint="eastAsia" w:ascii="Times New Roman" w:hAnsi="Times New Roman" w:eastAsia="宋体"/>
          <w:sz w:val="24"/>
          <w:lang w:eastAsia="zh-CN"/>
        </w:rPr>
      </w:pPr>
    </w:p>
    <w:p>
      <w:pPr>
        <w:spacing w:before="312" w:beforeLines="100" w:after="312" w:afterLines="100" w:line="300" w:lineRule="auto"/>
        <w:ind w:firstLine="435"/>
        <w:rPr>
          <w:rFonts w:ascii="Times New Roman" w:hAnsi="Times New Roman"/>
          <w:sz w:val="24"/>
        </w:rPr>
      </w:pPr>
    </w:p>
    <w:p>
      <w:pPr>
        <w:spacing w:before="312" w:beforeLines="100" w:after="312" w:afterLines="100" w:line="300" w:lineRule="auto"/>
        <w:ind w:firstLine="554" w:firstLineChars="231"/>
        <w:jc w:val="right"/>
        <w:rPr>
          <w:rFonts w:ascii="Times New Roman" w:hAnsi="Times New Roman"/>
          <w:sz w:val="24"/>
        </w:rPr>
      </w:pPr>
      <w:r>
        <w:rPr>
          <w:rFonts w:ascii="Times New Roman" w:hAnsi="Times New Roman"/>
          <w:sz w:val="24"/>
        </w:rPr>
        <w:t>海通证券股份有限公司</w:t>
      </w:r>
    </w:p>
    <w:p>
      <w:pPr>
        <w:wordWrap w:val="0"/>
        <w:spacing w:line="560" w:lineRule="exact"/>
        <w:jc w:val="right"/>
        <w:rPr>
          <w:rFonts w:ascii="Times New Roman" w:hAnsi="Times New Roman"/>
        </w:rPr>
      </w:pPr>
      <w:r>
        <w:rPr>
          <w:rFonts w:ascii="Times New Roman" w:hAnsi="Times New Roman"/>
          <w:sz w:val="24"/>
        </w:rPr>
        <w:t>202</w:t>
      </w:r>
      <w:r>
        <w:rPr>
          <w:rFonts w:hint="eastAsia" w:ascii="Times New Roman" w:hAnsi="Times New Roman"/>
          <w:sz w:val="24"/>
          <w:lang w:val="en-US" w:eastAsia="zh-CN"/>
        </w:rPr>
        <w:t>5</w:t>
      </w:r>
      <w:r>
        <w:rPr>
          <w:rFonts w:ascii="Times New Roman" w:hAnsi="Times New Roman"/>
          <w:sz w:val="24"/>
        </w:rPr>
        <w:t xml:space="preserve">年 </w:t>
      </w:r>
      <w:r>
        <w:rPr>
          <w:rFonts w:hint="eastAsia" w:ascii="Times New Roman" w:hAnsi="Times New Roman"/>
          <w:sz w:val="24"/>
          <w:lang w:val="en-US" w:eastAsia="zh-CN"/>
        </w:rPr>
        <w:t>01</w:t>
      </w:r>
      <w:r>
        <w:rPr>
          <w:rFonts w:ascii="Times New Roman" w:hAnsi="Times New Roman"/>
          <w:sz w:val="24"/>
        </w:rPr>
        <w:t xml:space="preserve">月 </w:t>
      </w:r>
      <w:r>
        <w:rPr>
          <w:rFonts w:hint="eastAsia" w:ascii="Times New Roman" w:hAnsi="Times New Roman"/>
          <w:sz w:val="24"/>
          <w:lang w:val="en-US" w:eastAsia="zh-CN"/>
        </w:rPr>
        <w:t>07</w:t>
      </w:r>
      <w:bookmarkStart w:id="2" w:name="_GoBack"/>
      <w:bookmarkEnd w:id="2"/>
      <w:r>
        <w:rPr>
          <w:rFonts w:ascii="Times New Roman" w:hAnsi="Times New Roman"/>
          <w:sz w:val="24"/>
        </w:rPr>
        <w:t xml:space="preserve"> 日</w:t>
      </w:r>
    </w:p>
    <w:p>
      <w:pPr>
        <w:rPr>
          <w:rFonts w:ascii="Times New Roman" w:hAnsi="Times New Roman"/>
        </w:rPr>
      </w:pPr>
    </w:p>
    <w:p>
      <w:pPr>
        <w:widowControl/>
        <w:snapToGrid w:val="0"/>
        <w:spacing w:line="400" w:lineRule="exact"/>
        <w:ind w:firstLine="480" w:firstLineChars="200"/>
        <w:jc w:val="left"/>
        <w:rPr>
          <w:rFonts w:ascii="Times New Roman" w:hAnsi="Times New Roman"/>
          <w:sz w:val="24"/>
          <w:szCs w:val="24"/>
        </w:rPr>
      </w:pPr>
    </w:p>
    <w:p>
      <w:pPr>
        <w:rPr>
          <w:rFonts w:ascii="Times New Roman" w:hAnsi="Times New Roman"/>
          <w:sz w:val="24"/>
          <w:szCs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D6616"/>
    <w:multiLevelType w:val="multilevel"/>
    <w:tmpl w:val="2CDD661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Q0NjczszAyMzEytjBU0lEKTi0uzszPAykwrgUAJRwaNCwAAAA="/>
    <w:docVar w:name="commondata" w:val="eyJoZGlkIjoiNDUwMTFkMDI3ZjBmZjczM2Q3M2EwOGI5M2VjYzUzMDkifQ=="/>
  </w:docVars>
  <w:rsids>
    <w:rsidRoot w:val="00A62D0C"/>
    <w:rsid w:val="000041CB"/>
    <w:rsid w:val="00021C59"/>
    <w:rsid w:val="00092EF6"/>
    <w:rsid w:val="000B4C77"/>
    <w:rsid w:val="000B5611"/>
    <w:rsid w:val="000C2C67"/>
    <w:rsid w:val="000D44F2"/>
    <w:rsid w:val="000D7200"/>
    <w:rsid w:val="00101855"/>
    <w:rsid w:val="00121BC1"/>
    <w:rsid w:val="00122726"/>
    <w:rsid w:val="00134100"/>
    <w:rsid w:val="001516C5"/>
    <w:rsid w:val="001629C9"/>
    <w:rsid w:val="001775F4"/>
    <w:rsid w:val="001B4A6E"/>
    <w:rsid w:val="0021021A"/>
    <w:rsid w:val="00221D00"/>
    <w:rsid w:val="00232BD8"/>
    <w:rsid w:val="00233290"/>
    <w:rsid w:val="00237C04"/>
    <w:rsid w:val="00276083"/>
    <w:rsid w:val="002A7B7E"/>
    <w:rsid w:val="002F373C"/>
    <w:rsid w:val="00302505"/>
    <w:rsid w:val="00315C70"/>
    <w:rsid w:val="003177E9"/>
    <w:rsid w:val="00323326"/>
    <w:rsid w:val="0035587B"/>
    <w:rsid w:val="00386157"/>
    <w:rsid w:val="003B764C"/>
    <w:rsid w:val="003B79BE"/>
    <w:rsid w:val="003C4D09"/>
    <w:rsid w:val="003E70E6"/>
    <w:rsid w:val="00452F68"/>
    <w:rsid w:val="00493F94"/>
    <w:rsid w:val="004A3081"/>
    <w:rsid w:val="00510FA4"/>
    <w:rsid w:val="005240E3"/>
    <w:rsid w:val="00527AAB"/>
    <w:rsid w:val="0054382F"/>
    <w:rsid w:val="00584704"/>
    <w:rsid w:val="0059581C"/>
    <w:rsid w:val="00597917"/>
    <w:rsid w:val="005A4AF3"/>
    <w:rsid w:val="005C130E"/>
    <w:rsid w:val="005C5EFB"/>
    <w:rsid w:val="005E00BA"/>
    <w:rsid w:val="0060752D"/>
    <w:rsid w:val="00621F78"/>
    <w:rsid w:val="006336A5"/>
    <w:rsid w:val="00653FAE"/>
    <w:rsid w:val="006660B2"/>
    <w:rsid w:val="00687C86"/>
    <w:rsid w:val="006F425B"/>
    <w:rsid w:val="006F7468"/>
    <w:rsid w:val="00705B79"/>
    <w:rsid w:val="00732596"/>
    <w:rsid w:val="00764F49"/>
    <w:rsid w:val="0077027E"/>
    <w:rsid w:val="007778C4"/>
    <w:rsid w:val="00783241"/>
    <w:rsid w:val="007A3C03"/>
    <w:rsid w:val="007D14C2"/>
    <w:rsid w:val="007E2966"/>
    <w:rsid w:val="007F4A5C"/>
    <w:rsid w:val="0080235B"/>
    <w:rsid w:val="00810C8A"/>
    <w:rsid w:val="00862606"/>
    <w:rsid w:val="00887AB7"/>
    <w:rsid w:val="008A4E54"/>
    <w:rsid w:val="008E4505"/>
    <w:rsid w:val="00943DAC"/>
    <w:rsid w:val="009548B8"/>
    <w:rsid w:val="00975C3C"/>
    <w:rsid w:val="009847D7"/>
    <w:rsid w:val="009B0C07"/>
    <w:rsid w:val="009C4118"/>
    <w:rsid w:val="009C529E"/>
    <w:rsid w:val="009E0B0D"/>
    <w:rsid w:val="009E5E2F"/>
    <w:rsid w:val="009F0B2C"/>
    <w:rsid w:val="00A1093A"/>
    <w:rsid w:val="00A2003B"/>
    <w:rsid w:val="00A200F5"/>
    <w:rsid w:val="00A21EAE"/>
    <w:rsid w:val="00A24CD7"/>
    <w:rsid w:val="00A54511"/>
    <w:rsid w:val="00A578B2"/>
    <w:rsid w:val="00A62D0C"/>
    <w:rsid w:val="00A83A84"/>
    <w:rsid w:val="00A90481"/>
    <w:rsid w:val="00A94755"/>
    <w:rsid w:val="00A94D41"/>
    <w:rsid w:val="00AA2DD0"/>
    <w:rsid w:val="00AB3493"/>
    <w:rsid w:val="00B3559C"/>
    <w:rsid w:val="00B45CBD"/>
    <w:rsid w:val="00B74940"/>
    <w:rsid w:val="00B778B5"/>
    <w:rsid w:val="00BA0703"/>
    <w:rsid w:val="00BB7CA8"/>
    <w:rsid w:val="00BC4212"/>
    <w:rsid w:val="00BD0170"/>
    <w:rsid w:val="00BF011A"/>
    <w:rsid w:val="00C01F91"/>
    <w:rsid w:val="00C0598C"/>
    <w:rsid w:val="00C5321C"/>
    <w:rsid w:val="00C75438"/>
    <w:rsid w:val="00C80439"/>
    <w:rsid w:val="00C91822"/>
    <w:rsid w:val="00CA5729"/>
    <w:rsid w:val="00CA771A"/>
    <w:rsid w:val="00CA7FBD"/>
    <w:rsid w:val="00CB0CAD"/>
    <w:rsid w:val="00CB0DA3"/>
    <w:rsid w:val="00CB22E5"/>
    <w:rsid w:val="00CC3991"/>
    <w:rsid w:val="00CE324D"/>
    <w:rsid w:val="00D00D8F"/>
    <w:rsid w:val="00D05837"/>
    <w:rsid w:val="00D26FE3"/>
    <w:rsid w:val="00D4754D"/>
    <w:rsid w:val="00D80F5E"/>
    <w:rsid w:val="00D90F90"/>
    <w:rsid w:val="00DB2BE6"/>
    <w:rsid w:val="00DB3153"/>
    <w:rsid w:val="00DD1A11"/>
    <w:rsid w:val="00DD2B9D"/>
    <w:rsid w:val="00E05AAC"/>
    <w:rsid w:val="00E31519"/>
    <w:rsid w:val="00E46A24"/>
    <w:rsid w:val="00E53298"/>
    <w:rsid w:val="00E75708"/>
    <w:rsid w:val="00E87B0E"/>
    <w:rsid w:val="00EA3C2B"/>
    <w:rsid w:val="00EA6B66"/>
    <w:rsid w:val="00ED7004"/>
    <w:rsid w:val="00ED743E"/>
    <w:rsid w:val="00EF183E"/>
    <w:rsid w:val="00F124D5"/>
    <w:rsid w:val="00F229E3"/>
    <w:rsid w:val="00F24F4D"/>
    <w:rsid w:val="00F4723F"/>
    <w:rsid w:val="00F71353"/>
    <w:rsid w:val="00F84849"/>
    <w:rsid w:val="00FB208F"/>
    <w:rsid w:val="00FD015A"/>
    <w:rsid w:val="00FD55D8"/>
    <w:rsid w:val="00FF05CE"/>
    <w:rsid w:val="00FF2D9F"/>
    <w:rsid w:val="00FF6570"/>
    <w:rsid w:val="017820D9"/>
    <w:rsid w:val="08585A38"/>
    <w:rsid w:val="0F7A065C"/>
    <w:rsid w:val="12C10F90"/>
    <w:rsid w:val="176078BD"/>
    <w:rsid w:val="19731646"/>
    <w:rsid w:val="1A5F0658"/>
    <w:rsid w:val="1BFE004A"/>
    <w:rsid w:val="1C5601C4"/>
    <w:rsid w:val="1F776E6E"/>
    <w:rsid w:val="208D7776"/>
    <w:rsid w:val="231A1A2B"/>
    <w:rsid w:val="27BF2D78"/>
    <w:rsid w:val="2DD51ADD"/>
    <w:rsid w:val="2FF8EF18"/>
    <w:rsid w:val="317A1C09"/>
    <w:rsid w:val="327F7EDA"/>
    <w:rsid w:val="32F06A99"/>
    <w:rsid w:val="33C97CD0"/>
    <w:rsid w:val="37DB34CF"/>
    <w:rsid w:val="3BBE49F2"/>
    <w:rsid w:val="3BD7DD00"/>
    <w:rsid w:val="3F9782F3"/>
    <w:rsid w:val="3FFF8CBA"/>
    <w:rsid w:val="40F55BB6"/>
    <w:rsid w:val="433F0D22"/>
    <w:rsid w:val="4ABD6DD5"/>
    <w:rsid w:val="4B392AEB"/>
    <w:rsid w:val="56FC54C1"/>
    <w:rsid w:val="69A505A9"/>
    <w:rsid w:val="6A5FABB5"/>
    <w:rsid w:val="6DF01F1D"/>
    <w:rsid w:val="6E9701EB"/>
    <w:rsid w:val="7356F8F2"/>
    <w:rsid w:val="736D0543"/>
    <w:rsid w:val="76AFCF72"/>
    <w:rsid w:val="76FF9492"/>
    <w:rsid w:val="79512DA2"/>
    <w:rsid w:val="7ABBA877"/>
    <w:rsid w:val="7B9F7046"/>
    <w:rsid w:val="7BFDD338"/>
    <w:rsid w:val="7DFFE7AE"/>
    <w:rsid w:val="7E287F66"/>
    <w:rsid w:val="7E7D72C2"/>
    <w:rsid w:val="7F5F1D5A"/>
    <w:rsid w:val="7FDF03DC"/>
    <w:rsid w:val="7FF56811"/>
    <w:rsid w:val="AB4F0ADA"/>
    <w:rsid w:val="AEFDD694"/>
    <w:rsid w:val="BF378890"/>
    <w:rsid w:val="D6DC275B"/>
    <w:rsid w:val="DA8F884A"/>
    <w:rsid w:val="DFF9F3F6"/>
    <w:rsid w:val="EB364287"/>
    <w:rsid w:val="EDFFBA31"/>
    <w:rsid w:val="EFC52D95"/>
    <w:rsid w:val="EFEE39FF"/>
    <w:rsid w:val="EFF942C2"/>
    <w:rsid w:val="EFFF7313"/>
    <w:rsid w:val="F4E75A03"/>
    <w:rsid w:val="F7F72D6E"/>
    <w:rsid w:val="F7FD97A0"/>
    <w:rsid w:val="FD7FDF4B"/>
    <w:rsid w:val="FEEDFB0A"/>
    <w:rsid w:val="FF5DF323"/>
    <w:rsid w:val="FF7CF6EE"/>
    <w:rsid w:val="FFAF8C94"/>
    <w:rsid w:val="FFBB3F64"/>
    <w:rsid w:val="FFBFA25A"/>
    <w:rsid w:val="FFDE6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2"/>
    <w:unhideWhenUsed/>
    <w:qFormat/>
    <w:uiPriority w:val="99"/>
    <w:rPr>
      <w:rFonts w:ascii="宋体"/>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annotation reference"/>
    <w:basedOn w:val="8"/>
    <w:unhideWhenUsed/>
    <w:qFormat/>
    <w:uiPriority w:val="99"/>
    <w:rPr>
      <w:sz w:val="21"/>
      <w:szCs w:val="21"/>
    </w:rPr>
  </w:style>
  <w:style w:type="paragraph" w:customStyle="1" w:styleId="10">
    <w:name w:val="列表段落1"/>
    <w:basedOn w:val="1"/>
    <w:link w:val="11"/>
    <w:qFormat/>
    <w:uiPriority w:val="34"/>
    <w:pPr>
      <w:ind w:firstLine="420" w:firstLineChars="200"/>
    </w:pPr>
    <w:rPr>
      <w:rFonts w:asciiTheme="minorHAnsi" w:hAnsiTheme="minorHAnsi" w:eastAsiaTheme="minorEastAsia" w:cstheme="minorBidi"/>
    </w:rPr>
  </w:style>
  <w:style w:type="character" w:customStyle="1" w:styleId="11">
    <w:name w:val="列表段落 字符"/>
    <w:basedOn w:val="8"/>
    <w:link w:val="10"/>
    <w:qFormat/>
    <w:uiPriority w:val="34"/>
    <w:rPr>
      <w:szCs w:val="22"/>
    </w:rPr>
  </w:style>
  <w:style w:type="character" w:customStyle="1" w:styleId="12">
    <w:name w:val="批注框文本 字符"/>
    <w:basedOn w:val="8"/>
    <w:link w:val="3"/>
    <w:semiHidden/>
    <w:qFormat/>
    <w:uiPriority w:val="99"/>
    <w:rPr>
      <w:rFonts w:ascii="宋体" w:hAnsi="Calibri" w:eastAsia="宋体" w:cs="Times New Roman"/>
      <w:sz w:val="18"/>
      <w:szCs w:val="18"/>
    </w:rPr>
  </w:style>
  <w:style w:type="character" w:customStyle="1" w:styleId="13">
    <w:name w:val="批注文字 字符"/>
    <w:basedOn w:val="8"/>
    <w:link w:val="2"/>
    <w:semiHidden/>
    <w:qFormat/>
    <w:uiPriority w:val="99"/>
    <w:rPr>
      <w:rFonts w:ascii="Calibri" w:hAnsi="Calibri" w:eastAsia="宋体" w:cs="Times New Roman"/>
      <w:szCs w:val="22"/>
    </w:rPr>
  </w:style>
  <w:style w:type="character" w:customStyle="1" w:styleId="14">
    <w:name w:val="批注主题 字符"/>
    <w:basedOn w:val="13"/>
    <w:link w:val="6"/>
    <w:semiHidden/>
    <w:qFormat/>
    <w:uiPriority w:val="99"/>
    <w:rPr>
      <w:rFonts w:ascii="Calibri" w:hAnsi="Calibri" w:eastAsia="宋体" w:cs="Times New Roman"/>
      <w:b/>
      <w:bCs/>
      <w:szCs w:val="22"/>
    </w:rPr>
  </w:style>
  <w:style w:type="character" w:customStyle="1" w:styleId="15">
    <w:name w:val="页眉 字符"/>
    <w:basedOn w:val="8"/>
    <w:link w:val="5"/>
    <w:qFormat/>
    <w:uiPriority w:val="99"/>
    <w:rPr>
      <w:rFonts w:ascii="Calibri" w:hAnsi="Calibri" w:eastAsia="宋体" w:cs="Times New Roman"/>
      <w:sz w:val="18"/>
      <w:szCs w:val="18"/>
    </w:rPr>
  </w:style>
  <w:style w:type="character" w:customStyle="1" w:styleId="16">
    <w:name w:val="页脚 字符"/>
    <w:basedOn w:val="8"/>
    <w:link w:val="4"/>
    <w:qFormat/>
    <w:uiPriority w:val="99"/>
    <w:rPr>
      <w:rFonts w:ascii="Calibri" w:hAnsi="Calibri" w:eastAsia="宋体" w:cs="Times New Roman"/>
      <w:sz w:val="18"/>
      <w:szCs w:val="18"/>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 w:type="paragraph" w:customStyle="1" w:styleId="18">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1900</Words>
  <Characters>2063</Characters>
  <Lines>17</Lines>
  <Paragraphs>4</Paragraphs>
  <TotalTime>35</TotalTime>
  <ScaleCrop>false</ScaleCrop>
  <LinksUpToDate>false</LinksUpToDate>
  <CharactersWithSpaces>2107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2021-04-30T07:23:00Z</dcterms:created>
  <dc:creator>雪梨</dc:creator>
  <cp:lastModifiedBy>Administrator</cp:lastModifiedBy>
  <cp:lastPrinted>2021-02-22T08:36:00Z</cp:lastPrinted>
  <dcterms:modified xsi:type="dcterms:W3CDTF">2025-01-06T00:22:53Z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3A3891B07BC4F3B34376F366AC938254_43</vt:lpwstr>
  </property>
</Properties>
</file>