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Times New Roman" w:hAnsi="Times New Roman" w:eastAsia="黑体"/>
          <w:b/>
          <w:sz w:val="24"/>
          <w:szCs w:val="24"/>
          <w:lang w:val="en-US" w:eastAsia="zh-CN"/>
        </w:rPr>
      </w:pPr>
      <w:r>
        <w:rPr>
          <w:rFonts w:ascii="Times New Roman" w:hAnsi="Times New Roman" w:eastAsia="黑体"/>
          <w:b/>
          <w:sz w:val="24"/>
          <w:szCs w:val="24"/>
        </w:rPr>
        <w:t>债券代码：</w:t>
      </w:r>
      <w:r>
        <w:rPr>
          <w:rFonts w:hint="eastAsia" w:ascii="Times New Roman" w:hAnsi="Times New Roman" w:eastAsia="黑体"/>
          <w:b/>
          <w:sz w:val="24"/>
          <w:szCs w:val="24"/>
          <w:lang w:val="en-US" w:eastAsia="zh-CN"/>
        </w:rPr>
        <w:t>185400</w:t>
      </w:r>
      <w:r>
        <w:rPr>
          <w:rFonts w:ascii="Times New Roman" w:hAnsi="Times New Roman" w:eastAsia="黑体"/>
          <w:b/>
          <w:sz w:val="24"/>
          <w:szCs w:val="24"/>
        </w:rPr>
        <w:t xml:space="preserve">                                 债券简称：</w:t>
      </w:r>
      <w:r>
        <w:rPr>
          <w:rFonts w:hint="eastAsia" w:ascii="Times New Roman" w:hAnsi="Times New Roman" w:eastAsia="黑体"/>
          <w:b/>
          <w:sz w:val="24"/>
          <w:szCs w:val="24"/>
          <w:lang w:val="en-US" w:eastAsia="zh-CN"/>
        </w:rPr>
        <w:t>22</w:t>
      </w:r>
      <w:r>
        <w:rPr>
          <w:rFonts w:hint="eastAsia" w:ascii="Times New Roman" w:hAnsi="Times New Roman" w:eastAsia="黑体"/>
          <w:b/>
          <w:sz w:val="24"/>
          <w:szCs w:val="24"/>
        </w:rPr>
        <w:t>海通</w:t>
      </w:r>
      <w:r>
        <w:rPr>
          <w:rFonts w:hint="eastAsia" w:ascii="Times New Roman" w:hAnsi="Times New Roman" w:eastAsia="黑体"/>
          <w:b/>
          <w:sz w:val="24"/>
          <w:szCs w:val="24"/>
          <w:lang w:val="en-US" w:eastAsia="zh-CN"/>
        </w:rPr>
        <w:t>C</w:t>
      </w:r>
      <w:r>
        <w:rPr>
          <w:rFonts w:hint="default" w:ascii="Times New Roman" w:hAnsi="Times New Roman" w:eastAsia="黑体"/>
          <w:b/>
          <w:sz w:val="24"/>
          <w:szCs w:val="24"/>
          <w:lang w:val="en-US" w:eastAsia="zh-CN"/>
        </w:rPr>
        <w:t>2</w:t>
      </w:r>
    </w:p>
    <w:p>
      <w:pPr>
        <w:adjustRightInd w:val="0"/>
        <w:snapToGrid w:val="0"/>
        <w:spacing w:line="400" w:lineRule="exact"/>
        <w:ind w:firstLine="510"/>
        <w:jc w:val="center"/>
        <w:rPr>
          <w:rFonts w:ascii="Times New Roman" w:hAnsi="Times New Roman"/>
          <w:bCs/>
          <w:sz w:val="30"/>
          <w:szCs w:val="30"/>
        </w:rPr>
      </w:pPr>
    </w:p>
    <w:p>
      <w:pPr>
        <w:adjustRightInd w:val="0"/>
        <w:snapToGrid w:val="0"/>
        <w:jc w:val="center"/>
        <w:rPr>
          <w:rFonts w:ascii="Times New Roman" w:hAnsi="Times New Roman" w:eastAsia="华文中宋"/>
          <w:b/>
          <w:color w:val="FF0000"/>
          <w:sz w:val="36"/>
          <w:szCs w:val="36"/>
        </w:rPr>
      </w:pPr>
      <w:r>
        <w:rPr>
          <w:rFonts w:hint="eastAsia" w:ascii="Times New Roman" w:hAnsi="Times New Roman" w:eastAsia="华文中宋"/>
          <w:b/>
          <w:color w:val="FF0000"/>
          <w:sz w:val="36"/>
          <w:szCs w:val="36"/>
        </w:rPr>
        <w:t>海通证券股份有限公司</w:t>
      </w:r>
    </w:p>
    <w:p>
      <w:pPr>
        <w:adjustRightInd w:val="0"/>
        <w:snapToGrid w:val="0"/>
        <w:jc w:val="center"/>
        <w:rPr>
          <w:rFonts w:ascii="Times New Roman" w:hAnsi="Times New Roman" w:eastAsia="华文中宋"/>
          <w:b/>
          <w:color w:val="FF0000"/>
          <w:sz w:val="36"/>
          <w:szCs w:val="36"/>
        </w:rPr>
      </w:pPr>
      <w:r>
        <w:rPr>
          <w:rFonts w:hint="eastAsia" w:ascii="Times New Roman" w:hAnsi="Times New Roman" w:eastAsia="华文中宋"/>
          <w:b/>
          <w:color w:val="FF0000"/>
          <w:sz w:val="36"/>
          <w:szCs w:val="36"/>
          <w:lang w:val="en-US" w:eastAsia="zh-CN"/>
        </w:rPr>
        <w:t>2022年面向专业投资者公开发行次级</w:t>
      </w:r>
      <w:r>
        <w:rPr>
          <w:rFonts w:hint="eastAsia" w:ascii="Times New Roman" w:hAnsi="Times New Roman" w:eastAsia="华文中宋"/>
          <w:b/>
          <w:color w:val="FF0000"/>
          <w:sz w:val="36"/>
          <w:szCs w:val="36"/>
        </w:rPr>
        <w:t>债券</w:t>
      </w:r>
      <w:r>
        <w:rPr>
          <w:rFonts w:hint="eastAsia" w:ascii="Times New Roman" w:hAnsi="Times New Roman" w:eastAsia="华文中宋"/>
          <w:b/>
          <w:color w:val="FF0000"/>
          <w:sz w:val="36"/>
          <w:szCs w:val="36"/>
          <w:lang w:eastAsia="zh-CN"/>
        </w:rPr>
        <w:t>（</w:t>
      </w:r>
      <w:r>
        <w:rPr>
          <w:rFonts w:hint="eastAsia" w:ascii="Times New Roman" w:hAnsi="Times New Roman" w:eastAsia="华文中宋"/>
          <w:b/>
          <w:color w:val="FF0000"/>
          <w:sz w:val="36"/>
          <w:szCs w:val="36"/>
        </w:rPr>
        <w:t>第</w:t>
      </w:r>
      <w:r>
        <w:rPr>
          <w:rFonts w:hint="eastAsia" w:ascii="Times New Roman" w:hAnsi="Times New Roman" w:eastAsia="华文中宋"/>
          <w:b/>
          <w:color w:val="FF0000"/>
          <w:sz w:val="36"/>
          <w:szCs w:val="36"/>
          <w:lang w:val="en-US" w:eastAsia="zh-CN"/>
        </w:rPr>
        <w:t>二</w:t>
      </w:r>
      <w:r>
        <w:rPr>
          <w:rFonts w:hint="eastAsia" w:ascii="Times New Roman" w:hAnsi="Times New Roman" w:eastAsia="华文中宋"/>
          <w:b/>
          <w:color w:val="FF0000"/>
          <w:sz w:val="36"/>
          <w:szCs w:val="36"/>
        </w:rPr>
        <w:t>期</w:t>
      </w:r>
      <w:r>
        <w:rPr>
          <w:rFonts w:hint="eastAsia" w:ascii="Times New Roman" w:hAnsi="Times New Roman" w:eastAsia="华文中宋"/>
          <w:b/>
          <w:color w:val="FF0000"/>
          <w:sz w:val="36"/>
          <w:szCs w:val="36"/>
          <w:lang w:eastAsia="zh-CN"/>
        </w:rPr>
        <w:t>）</w:t>
      </w:r>
      <w:r>
        <w:rPr>
          <w:rFonts w:ascii="Times New Roman" w:hAnsi="Times New Roman" w:eastAsia="华文中宋"/>
          <w:b/>
          <w:color w:val="FF0000"/>
          <w:sz w:val="36"/>
          <w:szCs w:val="36"/>
        </w:rPr>
        <w:t>202</w:t>
      </w:r>
      <w:r>
        <w:rPr>
          <w:rFonts w:hint="eastAsia" w:ascii="Times New Roman" w:hAnsi="Times New Roman" w:eastAsia="华文中宋"/>
          <w:b/>
          <w:color w:val="FF0000"/>
          <w:sz w:val="36"/>
          <w:szCs w:val="36"/>
          <w:lang w:val="en-US" w:eastAsia="zh-CN"/>
        </w:rPr>
        <w:t>5</w:t>
      </w:r>
      <w:r>
        <w:rPr>
          <w:rFonts w:ascii="Times New Roman" w:hAnsi="Times New Roman" w:eastAsia="华文中宋"/>
          <w:b/>
          <w:color w:val="FF0000"/>
          <w:sz w:val="36"/>
          <w:szCs w:val="36"/>
        </w:rPr>
        <w:t>年本息兑付及摘牌公告</w:t>
      </w:r>
    </w:p>
    <w:p>
      <w:pPr>
        <w:pBdr>
          <w:top w:val="single" w:color="auto" w:sz="4" w:space="1"/>
          <w:left w:val="single" w:color="auto" w:sz="4" w:space="4"/>
          <w:bottom w:val="single" w:color="auto" w:sz="4" w:space="1"/>
          <w:right w:val="single" w:color="auto" w:sz="4" w:space="4"/>
        </w:pBdr>
        <w:adjustRightInd w:val="0"/>
        <w:snapToGrid w:val="0"/>
        <w:rPr>
          <w:rFonts w:ascii="Times New Roman" w:hAnsi="Times New Roman"/>
          <w:color w:val="000000"/>
          <w:sz w:val="24"/>
          <w:szCs w:val="24"/>
        </w:rPr>
      </w:pPr>
      <w:r>
        <w:rPr>
          <w:rFonts w:ascii="Times New Roman" w:hAnsi="Times New Roman"/>
          <w:color w:val="000000"/>
          <w:sz w:val="30"/>
          <w:szCs w:val="30"/>
        </w:rPr>
        <w:t xml:space="preserve">    </w:t>
      </w:r>
      <w:r>
        <w:rPr>
          <w:rFonts w:ascii="Times New Roman" w:hAnsi="Times New Roman"/>
          <w:color w:val="000000"/>
          <w:sz w:val="24"/>
          <w:szCs w:val="24"/>
        </w:rPr>
        <w:t>本公司全体董事或具有同等职责的人员保证本公告内容不存在任何虚假记载、误导性陈述或者重大遗漏，并对其内容的真实性、准确性和完整性承担相应的法律责任。</w:t>
      </w:r>
    </w:p>
    <w:p>
      <w:pPr>
        <w:widowControl/>
        <w:spacing w:line="400" w:lineRule="exact"/>
        <w:jc w:val="left"/>
        <w:rPr>
          <w:rFonts w:ascii="Times New Roman" w:hAnsi="Times New Roman"/>
          <w:sz w:val="30"/>
          <w:szCs w:val="30"/>
        </w:rPr>
      </w:pPr>
    </w:p>
    <w:p>
      <w:pPr>
        <w:widowControl/>
        <w:snapToGrid w:val="0"/>
        <w:spacing w:line="400" w:lineRule="exact"/>
        <w:ind w:firstLine="482" w:firstLineChars="200"/>
        <w:jc w:val="left"/>
        <w:rPr>
          <w:rFonts w:ascii="Times New Roman" w:hAnsi="Times New Roman"/>
          <w:b/>
          <w:bCs/>
          <w:sz w:val="24"/>
          <w:szCs w:val="24"/>
        </w:rPr>
      </w:pPr>
      <w:r>
        <w:rPr>
          <w:rFonts w:ascii="Times New Roman" w:hAnsi="Times New Roman"/>
          <w:b/>
          <w:bCs/>
          <w:sz w:val="24"/>
          <w:szCs w:val="24"/>
        </w:rPr>
        <w:t>重要内容提示：</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债权登记日：202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24</w:t>
      </w:r>
      <w:r>
        <w:rPr>
          <w:rFonts w:ascii="Times New Roman" w:hAnsi="Times New Roman" w:eastAsia="宋体" w:cs="Times New Roman"/>
          <w:sz w:val="24"/>
          <w:szCs w:val="24"/>
        </w:rPr>
        <w:t>日</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本息兑付日：202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25</w:t>
      </w:r>
      <w:r>
        <w:rPr>
          <w:rFonts w:ascii="Times New Roman" w:hAnsi="Times New Roman" w:eastAsia="宋体" w:cs="Times New Roman"/>
          <w:sz w:val="24"/>
          <w:szCs w:val="24"/>
        </w:rPr>
        <w:t>日</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债券摘牌日：202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25</w:t>
      </w:r>
      <w:r>
        <w:rPr>
          <w:rFonts w:ascii="Times New Roman" w:hAnsi="Times New Roman" w:eastAsia="宋体" w:cs="Times New Roman"/>
          <w:sz w:val="24"/>
          <w:szCs w:val="24"/>
        </w:rPr>
        <w:t>日</w:t>
      </w:r>
    </w:p>
    <w:p>
      <w:pPr>
        <w:pStyle w:val="10"/>
        <w:snapToGrid w:val="0"/>
        <w:spacing w:line="400" w:lineRule="exact"/>
        <w:ind w:left="900" w:firstLine="0" w:firstLineChars="0"/>
        <w:rPr>
          <w:rFonts w:ascii="Times New Roman" w:hAnsi="Times New Roman" w:eastAsia="宋体" w:cs="Times New Roman"/>
          <w:sz w:val="24"/>
          <w:szCs w:val="24"/>
        </w:rPr>
      </w:pPr>
    </w:p>
    <w:p>
      <w:pPr>
        <w:widowControl/>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海通证券股份有限公司202</w:t>
      </w:r>
      <w:r>
        <w:rPr>
          <w:rFonts w:hint="eastAsia" w:ascii="Times New Roman" w:hAnsi="Times New Roman"/>
          <w:sz w:val="24"/>
          <w:szCs w:val="24"/>
          <w:lang w:val="en-US" w:eastAsia="zh-CN"/>
        </w:rPr>
        <w:t>2</w:t>
      </w:r>
      <w:r>
        <w:rPr>
          <w:rFonts w:hint="eastAsia" w:ascii="Times New Roman" w:hAnsi="Times New Roman"/>
          <w:sz w:val="24"/>
          <w:szCs w:val="24"/>
        </w:rPr>
        <w:t>年面向专业投资者公开发行</w:t>
      </w:r>
      <w:r>
        <w:rPr>
          <w:rFonts w:hint="eastAsia" w:ascii="Times New Roman" w:hAnsi="Times New Roman"/>
          <w:sz w:val="24"/>
          <w:szCs w:val="24"/>
          <w:lang w:val="en-US" w:eastAsia="zh-CN"/>
        </w:rPr>
        <w:t>次级</w:t>
      </w:r>
      <w:r>
        <w:rPr>
          <w:rFonts w:hint="eastAsia" w:ascii="Times New Roman" w:hAnsi="Times New Roman"/>
          <w:sz w:val="24"/>
          <w:szCs w:val="24"/>
        </w:rPr>
        <w:t>债券（第</w:t>
      </w:r>
      <w:r>
        <w:rPr>
          <w:rFonts w:hint="eastAsia" w:ascii="Times New Roman" w:hAnsi="Times New Roman"/>
          <w:sz w:val="24"/>
          <w:szCs w:val="24"/>
          <w:lang w:val="en-US" w:eastAsia="zh-CN"/>
        </w:rPr>
        <w:t>二</w:t>
      </w:r>
      <w:r>
        <w:rPr>
          <w:rFonts w:hint="eastAsia" w:ascii="Times New Roman" w:hAnsi="Times New Roman"/>
          <w:sz w:val="24"/>
          <w:szCs w:val="24"/>
        </w:rPr>
        <w:t>期）</w:t>
      </w:r>
      <w:r>
        <w:rPr>
          <w:rFonts w:ascii="Times New Roman" w:hAnsi="Times New Roman"/>
          <w:sz w:val="24"/>
          <w:szCs w:val="24"/>
        </w:rPr>
        <w:t>（以下简称本期债券），将于20</w:t>
      </w:r>
      <w:r>
        <w:rPr>
          <w:rFonts w:hint="eastAsia" w:ascii="Times New Roman" w:hAnsi="Times New Roman"/>
          <w:sz w:val="24"/>
          <w:szCs w:val="24"/>
          <w:lang w:val="en-US" w:eastAsia="zh-CN"/>
        </w:rPr>
        <w:t>25</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日开始支付自</w:t>
      </w:r>
      <w:bookmarkStart w:id="0" w:name="OLE_LINK1"/>
      <w:bookmarkStart w:id="1" w:name="OLE_LINK2"/>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日至202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bookmarkEnd w:id="0"/>
      <w:bookmarkEnd w:id="1"/>
      <w:r>
        <w:rPr>
          <w:rFonts w:ascii="Times New Roman" w:hAnsi="Times New Roman"/>
          <w:sz w:val="24"/>
          <w:szCs w:val="24"/>
        </w:rPr>
        <w:t>期间的利息和本期债券本金。为保证还本付息工作的顺利进行，现将有关事宜公告如下：</w:t>
      </w:r>
    </w:p>
    <w:p>
      <w:pPr>
        <w:widowControl/>
        <w:snapToGrid w:val="0"/>
        <w:spacing w:line="400" w:lineRule="exact"/>
        <w:ind w:firstLine="562" w:firstLineChars="200"/>
        <w:jc w:val="left"/>
        <w:rPr>
          <w:rFonts w:ascii="Times New Roman" w:hAnsi="Times New Roman"/>
          <w:b/>
          <w:bCs/>
          <w:sz w:val="28"/>
          <w:szCs w:val="28"/>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一、本期债券的基本情况</w:t>
      </w:r>
    </w:p>
    <w:p>
      <w:pPr>
        <w:widowControl/>
        <w:snapToGrid w:val="0"/>
        <w:spacing w:line="400" w:lineRule="exact"/>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1、债券名称：</w:t>
      </w:r>
      <w:r>
        <w:rPr>
          <w:rFonts w:hint="eastAsia" w:ascii="Times New Roman" w:hAnsi="Times New Roman"/>
          <w:sz w:val="24"/>
          <w:szCs w:val="24"/>
        </w:rPr>
        <w:t>海通证券股份有限公司202</w:t>
      </w:r>
      <w:r>
        <w:rPr>
          <w:rFonts w:hint="eastAsia" w:ascii="Times New Roman" w:hAnsi="Times New Roman"/>
          <w:sz w:val="24"/>
          <w:szCs w:val="24"/>
          <w:lang w:val="en-US" w:eastAsia="zh-CN"/>
        </w:rPr>
        <w:t>2</w:t>
      </w:r>
      <w:r>
        <w:rPr>
          <w:rFonts w:hint="eastAsia" w:ascii="Times New Roman" w:hAnsi="Times New Roman"/>
          <w:sz w:val="24"/>
          <w:szCs w:val="24"/>
        </w:rPr>
        <w:t>年面向专业投资者公开发行</w:t>
      </w:r>
      <w:r>
        <w:rPr>
          <w:rFonts w:hint="eastAsia" w:ascii="Times New Roman" w:hAnsi="Times New Roman"/>
          <w:sz w:val="24"/>
          <w:szCs w:val="24"/>
          <w:lang w:val="en-US" w:eastAsia="zh-CN"/>
        </w:rPr>
        <w:t>次级</w:t>
      </w:r>
      <w:r>
        <w:rPr>
          <w:rFonts w:hint="eastAsia" w:ascii="Times New Roman" w:hAnsi="Times New Roman"/>
          <w:sz w:val="24"/>
          <w:szCs w:val="24"/>
        </w:rPr>
        <w:t>债券（第</w:t>
      </w:r>
      <w:r>
        <w:rPr>
          <w:rFonts w:hint="eastAsia" w:ascii="Times New Roman" w:hAnsi="Times New Roman"/>
          <w:sz w:val="24"/>
          <w:szCs w:val="24"/>
          <w:lang w:val="en-US" w:eastAsia="zh-CN"/>
        </w:rPr>
        <w:t>二</w:t>
      </w:r>
      <w:r>
        <w:rPr>
          <w:rFonts w:hint="eastAsia" w:ascii="Times New Roman" w:hAnsi="Times New Roman"/>
          <w:sz w:val="24"/>
          <w:szCs w:val="24"/>
        </w:rPr>
        <w:t>期）</w:t>
      </w:r>
    </w:p>
    <w:p>
      <w:pPr>
        <w:widowControl/>
        <w:snapToGrid w:val="0"/>
        <w:spacing w:line="400" w:lineRule="exact"/>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2、债券简称：</w:t>
      </w:r>
      <w:r>
        <w:rPr>
          <w:rFonts w:hint="eastAsia" w:ascii="Times New Roman" w:hAnsi="Times New Roman"/>
          <w:sz w:val="24"/>
          <w:szCs w:val="24"/>
          <w:lang w:val="en-US" w:eastAsia="zh-CN"/>
        </w:rPr>
        <w:t>22</w:t>
      </w:r>
      <w:r>
        <w:rPr>
          <w:rFonts w:hint="eastAsia" w:ascii="Times New Roman" w:hAnsi="Times New Roman"/>
          <w:sz w:val="24"/>
          <w:szCs w:val="24"/>
        </w:rPr>
        <w:t>海通</w:t>
      </w:r>
      <w:r>
        <w:rPr>
          <w:rFonts w:hint="eastAsia" w:ascii="Times New Roman" w:hAnsi="Times New Roman"/>
          <w:sz w:val="24"/>
          <w:szCs w:val="24"/>
          <w:lang w:val="en-US" w:eastAsia="zh-CN"/>
        </w:rPr>
        <w:t>C</w:t>
      </w:r>
      <w:r>
        <w:rPr>
          <w:rFonts w:hint="default" w:ascii="Times New Roman" w:hAnsi="Times New Roman"/>
          <w:sz w:val="24"/>
          <w:szCs w:val="24"/>
          <w:lang w:val="en-US" w:eastAsia="zh-CN"/>
        </w:rPr>
        <w:t>2</w:t>
      </w:r>
    </w:p>
    <w:p>
      <w:pPr>
        <w:widowControl/>
        <w:snapToGrid w:val="0"/>
        <w:spacing w:line="400" w:lineRule="exact"/>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3、债券代码：1</w:t>
      </w:r>
      <w:r>
        <w:rPr>
          <w:rFonts w:hint="eastAsia" w:ascii="Times New Roman" w:hAnsi="Times New Roman"/>
          <w:sz w:val="24"/>
          <w:szCs w:val="24"/>
          <w:lang w:val="en-US" w:eastAsia="zh-CN"/>
        </w:rPr>
        <w:t>85400</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4、发行人：海通证券股份有限公司</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5、发行总额：人民币</w:t>
      </w:r>
      <w:r>
        <w:rPr>
          <w:rFonts w:hint="eastAsia" w:ascii="Times New Roman" w:hAnsi="Times New Roman"/>
          <w:sz w:val="24"/>
          <w:szCs w:val="24"/>
          <w:lang w:val="en-US" w:eastAsia="zh-CN"/>
        </w:rPr>
        <w:t>20.00</w:t>
      </w:r>
      <w:r>
        <w:rPr>
          <w:rFonts w:ascii="Times New Roman" w:hAnsi="Times New Roman"/>
          <w:sz w:val="24"/>
          <w:szCs w:val="24"/>
        </w:rPr>
        <w:t>亿元</w:t>
      </w:r>
    </w:p>
    <w:p>
      <w:pPr>
        <w:widowControl/>
        <w:snapToGrid w:val="0"/>
        <w:spacing w:line="400" w:lineRule="exact"/>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6、债券期限：</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期</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7、票面利率：</w:t>
      </w:r>
      <w:r>
        <w:rPr>
          <w:rFonts w:hint="eastAsia" w:ascii="Times New Roman" w:hAnsi="Times New Roman"/>
          <w:sz w:val="24"/>
          <w:szCs w:val="24"/>
          <w:lang w:val="en-US" w:eastAsia="zh-CN"/>
        </w:rPr>
        <w:t>3.15</w:t>
      </w:r>
      <w:r>
        <w:rPr>
          <w:rFonts w:ascii="Times New Roman" w:hAnsi="Times New Roman"/>
          <w:sz w:val="24"/>
          <w:szCs w:val="24"/>
        </w:rPr>
        <w:t>%</w:t>
      </w:r>
    </w:p>
    <w:p>
      <w:pPr>
        <w:widowControl/>
        <w:snapToGrid w:val="0"/>
        <w:spacing w:line="400" w:lineRule="exact"/>
        <w:ind w:firstLine="480" w:firstLineChars="200"/>
        <w:rPr>
          <w:rFonts w:ascii="Times New Roman" w:hAnsi="Times New Roman"/>
          <w:sz w:val="24"/>
          <w:szCs w:val="24"/>
        </w:rPr>
      </w:pPr>
      <w:r>
        <w:rPr>
          <w:rFonts w:ascii="Times New Roman" w:hAnsi="Times New Roman"/>
          <w:sz w:val="24"/>
          <w:szCs w:val="24"/>
        </w:rPr>
        <w:t>8、计息期限及付息日：本期债券计息期限自20</w:t>
      </w:r>
      <w:r>
        <w:rPr>
          <w:rFonts w:hint="eastAsia" w:ascii="Times New Roman" w:hAnsi="Times New Roman"/>
          <w:sz w:val="24"/>
          <w:szCs w:val="24"/>
          <w:lang w:val="en-US" w:eastAsia="zh-CN"/>
        </w:rPr>
        <w:t>22</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日至202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w:t>
      </w:r>
      <w:r>
        <w:rPr>
          <w:rFonts w:hint="default" w:ascii="Times New Roman" w:hAnsi="Times New Roman"/>
          <w:sz w:val="24"/>
          <w:szCs w:val="24"/>
          <w:lang w:val="en-US" w:eastAsia="zh-CN"/>
        </w:rPr>
        <w:t>4</w:t>
      </w:r>
      <w:r>
        <w:rPr>
          <w:rFonts w:ascii="Times New Roman" w:hAnsi="Times New Roman"/>
          <w:sz w:val="24"/>
          <w:szCs w:val="24"/>
        </w:rPr>
        <w:t>日；本期债券的付息日为</w:t>
      </w:r>
      <w:r>
        <w:rPr>
          <w:rFonts w:hint="eastAsia" w:ascii="Times New Roman" w:hAnsi="Times New Roman"/>
          <w:sz w:val="24"/>
          <w:szCs w:val="24"/>
        </w:rPr>
        <w:t>计息期限的每年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日（如遇法定节假日，则顺延至下一个交易日</w:t>
      </w:r>
      <w:r>
        <w:rPr>
          <w:rFonts w:hint="eastAsia" w:ascii="Times New Roman" w:hAnsi="Times New Roman"/>
          <w:sz w:val="24"/>
          <w:szCs w:val="24"/>
        </w:rPr>
        <w:t>）</w:t>
      </w:r>
      <w:r>
        <w:rPr>
          <w:rFonts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二、本期债券本年度兑付兑息情况</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1、本年度计息期限：202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日至202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2、票面利率及兑付金额：本期债券票面利率（计息年利率）为</w:t>
      </w:r>
      <w:r>
        <w:rPr>
          <w:rFonts w:hint="eastAsia" w:ascii="Times New Roman" w:hAnsi="Times New Roman"/>
          <w:sz w:val="24"/>
          <w:szCs w:val="24"/>
          <w:lang w:val="en-US" w:eastAsia="zh-CN"/>
        </w:rPr>
        <w:t>3.15</w:t>
      </w:r>
      <w:r>
        <w:rPr>
          <w:rFonts w:ascii="Times New Roman" w:hAnsi="Times New Roman"/>
          <w:sz w:val="24"/>
          <w:szCs w:val="24"/>
        </w:rPr>
        <w:t>%，每手本期债券兑付本金为1,000元，派发利息为</w:t>
      </w:r>
      <w:r>
        <w:rPr>
          <w:rFonts w:hint="eastAsia" w:ascii="Times New Roman" w:hAnsi="Times New Roman"/>
          <w:sz w:val="24"/>
          <w:szCs w:val="24"/>
          <w:lang w:val="en-US" w:eastAsia="zh-CN"/>
        </w:rPr>
        <w:t>31.50</w:t>
      </w:r>
      <w:r>
        <w:rPr>
          <w:rFonts w:ascii="Times New Roman" w:hAnsi="Times New Roman"/>
          <w:sz w:val="24"/>
          <w:szCs w:val="24"/>
        </w:rPr>
        <w:t>元（含税）。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3、债权登记日：202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日。截至该日收市后，本期债券投资者对托管账户所记载的债券余额享有本年度利息和剩余全部本金。</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4、本息兑付日：202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5、债券摘牌日：</w:t>
      </w:r>
      <w:r>
        <w:rPr>
          <w:rFonts w:hint="eastAsia" w:ascii="Times New Roman" w:hAnsi="Times New Roman"/>
          <w:sz w:val="24"/>
          <w:szCs w:val="24"/>
        </w:rPr>
        <w:t>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25</w:t>
      </w:r>
      <w:r>
        <w:rPr>
          <w:rFonts w:hint="eastAsia" w:ascii="Times New Roman" w:hAnsi="Times New Roman"/>
          <w:sz w:val="24"/>
          <w:szCs w:val="24"/>
        </w:rPr>
        <w:t>日</w:t>
      </w:r>
      <w:r>
        <w:rPr>
          <w:rFonts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三、兑付、兑息办法</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一）本公司将与中国证券登记结算上海分公司签订委托代理债券兑付、兑息协议，委托中国证券登记结算上海分公司进行债券兑付、兑息。如本公司未按时足额将债券兑付、兑息资金划入中国证券登记结算上海分公司指定的银行账户，则中国证券登记结算上海分公司将根据协议终止委托代理债券兑付、兑息服务，后续兑付、兑息工作由本公司自行负责办理，相关实施事宜以本公司的公告为准。公司将在本期债券兑付、兑息日2个交易日前将本期债券的本金及利息足额划付至中国证券登记结算上海分公司指定的银行账户。</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（二）中国证券登记结算上海分公司在收到款项后，通过资金结算系统将债券本金及利息划付给相应的兑付机构（证券公司或中证登上海分公司认可的其他机构），投资者于兑付机构领取债券本金及利息。</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四、关于本期债券企业债券利息所得税的征收</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（一）关于向个人投资者征收企业债券利息所得税的说明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根据《中华人民共和国个人所得税法》和《企业债券管理条例》等相关法规和文件的规定，本期债券个人投资者应就其获得的债券利息所得缴纳企业债券利息个人所得税。本期债券发行人已在本期债券募集说明书中对上述规定予以明确说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按照《国家税务总局关于加强企业债券利息个人所得税代扣代缴工作的通知》（国税函[2003]612号）规定，本期债券利息个人所得税将统一由各兑付机构负责代扣代缴并直接向各兑付机构所在地的税务部门缴付。请各兑付机构按照个人所得税法的有关规定做好代扣代缴个人所得税工作。如各兑付机构未履行上述债券利息个人所得税的代扣代缴义务，由此产生的法律责任由各兑付机构自行承担。</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本期债券利息个人所得税的征缴说明如下：</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（1）纳税人：本期债券的个人投资者</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（2）征税对象：本期债券的利息所得</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（3）征税税率：按利息额的20%征收</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（4）征税环节：个人投资者在付息网点领取利息时由付息网点一次性扣除</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（5）代扣代缴义务人：负责本期债券付息工作的各付息网点</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（6）本期债券利息税的征管部门：各付息网点所在地的税务部门</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（二）关于向非居民企业征收企业债券利息所得税的说明</w:t>
      </w:r>
    </w:p>
    <w:p>
      <w:pPr>
        <w:widowControl/>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根据2021年11月22日发布的《关于延续境外机构投资境内债券市场企业所得税、增值税政策的公告》（财政部税务总局公告2021年34号），自2021年11月7日起至2025年12月31日止，对境外机构投资境内债券市场取得的债券利息收入暂免征收企业所得税和增值税。上述暂免征收企业所得税的范围不包括境外机构在境内设立的机构、场所取得的与该机构、场所有实际联系的债券利息。</w:t>
      </w:r>
    </w:p>
    <w:p>
      <w:pPr>
        <w:widowControl/>
        <w:snapToGrid w:val="0"/>
        <w:spacing w:line="400" w:lineRule="exact"/>
        <w:ind w:firstLine="480" w:firstLineChars="200"/>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五、相关机构及联系方式</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1、发行人：海通证券股份有限公司</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地址：上海市黄浦区中山南路888号海通外滩金融广场A座8层</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联系人：蒋泽云、张列锋、叶亮</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联系电话：021-23185108</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2、受托管理人：中信证券股份有限公司</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地址：北京市朝阳区亮马桥路48号中信证券大厦22、23层</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联系人：聂磊、陈莹娟、祁继华、康雅然</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联系电话：010-60838888</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3、托管人：中国证券登记结算有限责任公司上海分公司</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特此公告。</w:t>
      </w:r>
    </w:p>
    <w:p>
      <w:pPr>
        <w:widowControl/>
        <w:snapToGrid w:val="0"/>
        <w:spacing w:line="400" w:lineRule="exact"/>
        <w:ind w:firstLine="480" w:firstLineChars="200"/>
        <w:jc w:val="left"/>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spacing w:line="360" w:lineRule="auto"/>
        <w:jc w:val="left"/>
        <w:rPr>
          <w:rFonts w:ascii="Times New Roman" w:hAnsi="Times New Roman"/>
          <w:sz w:val="24"/>
        </w:rPr>
      </w:pPr>
      <w:r>
        <w:rPr>
          <w:rFonts w:ascii="Times New Roman" w:hAnsi="Times New Roman"/>
          <w:sz w:val="24"/>
        </w:rPr>
        <w:t>（本页无正文，为《</w:t>
      </w:r>
      <w:r>
        <w:rPr>
          <w:rFonts w:hint="eastAsia" w:ascii="Times New Roman" w:hAnsi="Times New Roman"/>
          <w:sz w:val="24"/>
        </w:rPr>
        <w:t>海通证券股份有限公司202</w:t>
      </w:r>
      <w:r>
        <w:rPr>
          <w:rFonts w:hint="eastAsia" w:ascii="Times New Roman" w:hAnsi="Times New Roman"/>
          <w:sz w:val="24"/>
          <w:lang w:val="en-US" w:eastAsia="zh-CN"/>
        </w:rPr>
        <w:t>2</w:t>
      </w:r>
      <w:r>
        <w:rPr>
          <w:rFonts w:hint="eastAsia" w:ascii="Times New Roman" w:hAnsi="Times New Roman"/>
          <w:sz w:val="24"/>
        </w:rPr>
        <w:t>年面向专业投资者公开发行</w:t>
      </w:r>
      <w:r>
        <w:rPr>
          <w:rFonts w:hint="eastAsia" w:ascii="Times New Roman" w:hAnsi="Times New Roman"/>
          <w:sz w:val="24"/>
          <w:lang w:val="en-US" w:eastAsia="zh-CN"/>
        </w:rPr>
        <w:t>次级</w:t>
      </w:r>
      <w:r>
        <w:rPr>
          <w:rFonts w:hint="eastAsia" w:ascii="Times New Roman" w:hAnsi="Times New Roman"/>
          <w:sz w:val="24"/>
        </w:rPr>
        <w:t>债券（第</w:t>
      </w:r>
      <w:r>
        <w:rPr>
          <w:rFonts w:hint="eastAsia" w:ascii="Times New Roman" w:hAnsi="Times New Roman"/>
          <w:sz w:val="24"/>
          <w:lang w:val="en-US" w:eastAsia="zh-CN"/>
        </w:rPr>
        <w:t>二期）</w:t>
      </w:r>
      <w:r>
        <w:rPr>
          <w:rFonts w:hint="eastAsia" w:ascii="Times New Roman" w:hAnsi="Times New Roman"/>
          <w:sz w:val="24"/>
        </w:rPr>
        <w:t>202</w:t>
      </w:r>
      <w:r>
        <w:rPr>
          <w:rFonts w:hint="eastAsia" w:ascii="Times New Roman" w:hAnsi="Times New Roman"/>
          <w:sz w:val="24"/>
          <w:lang w:val="en-US" w:eastAsia="zh-CN"/>
        </w:rPr>
        <w:t>5</w:t>
      </w:r>
      <w:r>
        <w:rPr>
          <w:rFonts w:hint="eastAsia" w:ascii="Times New Roman" w:hAnsi="Times New Roman"/>
          <w:sz w:val="24"/>
        </w:rPr>
        <w:t>年本息兑付及摘牌公告</w:t>
      </w:r>
      <w:r>
        <w:rPr>
          <w:rFonts w:ascii="Times New Roman" w:hAnsi="Times New Roman"/>
          <w:sz w:val="24"/>
        </w:rPr>
        <w:t>》之盖章页）</w:t>
      </w:r>
    </w:p>
    <w:p>
      <w:pPr>
        <w:spacing w:before="312" w:beforeLines="100" w:after="312" w:afterLines="100" w:line="300" w:lineRule="auto"/>
        <w:ind w:firstLine="435"/>
        <w:rPr>
          <w:rFonts w:hint="eastAsia" w:ascii="Times New Roman" w:hAnsi="Times New Roman" w:eastAsia="宋体"/>
          <w:sz w:val="24"/>
          <w:lang w:eastAsia="zh-CN"/>
        </w:rPr>
      </w:pPr>
    </w:p>
    <w:p>
      <w:pPr>
        <w:spacing w:before="312" w:beforeLines="100" w:after="312" w:afterLines="100" w:line="300" w:lineRule="auto"/>
        <w:ind w:firstLine="435"/>
        <w:rPr>
          <w:rFonts w:ascii="Times New Roman" w:hAnsi="Times New Roman"/>
          <w:sz w:val="24"/>
        </w:rPr>
      </w:pPr>
    </w:p>
    <w:p>
      <w:pPr>
        <w:spacing w:before="312" w:beforeLines="100" w:after="312" w:afterLines="100" w:line="300" w:lineRule="auto"/>
        <w:ind w:firstLine="554" w:firstLineChars="231"/>
        <w:jc w:val="right"/>
        <w:rPr>
          <w:rFonts w:ascii="Times New Roman" w:hAnsi="Times New Roman"/>
          <w:sz w:val="24"/>
        </w:rPr>
      </w:pPr>
      <w:r>
        <w:rPr>
          <w:rFonts w:ascii="Times New Roman" w:hAnsi="Times New Roman"/>
          <w:sz w:val="24"/>
        </w:rPr>
        <w:t>海通证券股份有限公司</w:t>
      </w:r>
    </w:p>
    <w:p>
      <w:pPr>
        <w:wordWrap w:val="0"/>
        <w:spacing w:line="560" w:lineRule="exact"/>
        <w:jc w:val="right"/>
        <w:rPr>
          <w:rFonts w:ascii="Times New Roman" w:hAnsi="Times New Roman"/>
        </w:rPr>
      </w:pPr>
      <w:r>
        <w:rPr>
          <w:rFonts w:ascii="Times New Roman" w:hAnsi="Times New Roman"/>
          <w:sz w:val="24"/>
        </w:rPr>
        <w:t>202</w:t>
      </w:r>
      <w:r>
        <w:rPr>
          <w:rFonts w:hint="eastAsia" w:ascii="Times New Roman" w:hAnsi="Times New Roman"/>
          <w:sz w:val="24"/>
          <w:lang w:val="en-US" w:eastAsia="zh-CN"/>
        </w:rPr>
        <w:t>5</w:t>
      </w:r>
      <w:r>
        <w:rPr>
          <w:rFonts w:ascii="Times New Roman" w:hAnsi="Times New Roman"/>
          <w:sz w:val="24"/>
        </w:rPr>
        <w:t xml:space="preserve">年 </w:t>
      </w:r>
      <w:r>
        <w:rPr>
          <w:rFonts w:hint="eastAsia" w:ascii="Times New Roman" w:hAnsi="Times New Roman"/>
          <w:sz w:val="24"/>
          <w:lang w:val="en-US" w:eastAsia="zh-CN"/>
        </w:rPr>
        <w:t>2</w:t>
      </w:r>
      <w:r>
        <w:rPr>
          <w:rFonts w:ascii="Times New Roman" w:hAnsi="Times New Roman"/>
          <w:sz w:val="24"/>
        </w:rPr>
        <w:t xml:space="preserve"> 月 </w:t>
      </w:r>
      <w:r>
        <w:rPr>
          <w:rFonts w:hint="eastAsia" w:ascii="Times New Roman" w:hAnsi="Times New Roman"/>
          <w:sz w:val="24"/>
          <w:lang w:val="en-US" w:eastAsia="zh-CN"/>
        </w:rPr>
        <w:t>19</w:t>
      </w:r>
      <w:bookmarkStart w:id="2" w:name="_GoBack"/>
      <w:bookmarkEnd w:id="2"/>
      <w:r>
        <w:rPr>
          <w:rFonts w:ascii="Times New Roman" w:hAnsi="Times New Roman"/>
          <w:sz w:val="24"/>
        </w:rPr>
        <w:t xml:space="preserve"> 日</w:t>
      </w:r>
    </w:p>
    <w:p>
      <w:pPr>
        <w:rPr>
          <w:rFonts w:ascii="Times New Roman" w:hAnsi="Times New Roman"/>
        </w:rPr>
      </w:pPr>
    </w:p>
    <w:p>
      <w:pPr>
        <w:widowControl/>
        <w:snapToGrid w:val="0"/>
        <w:spacing w:line="400" w:lineRule="exact"/>
        <w:ind w:firstLine="480" w:firstLineChars="200"/>
        <w:jc w:val="left"/>
        <w:rPr>
          <w:rFonts w:ascii="Times New Roman" w:hAnsi="Times New Roman"/>
          <w:sz w:val="24"/>
          <w:szCs w:val="24"/>
        </w:rPr>
      </w:pPr>
    </w:p>
    <w:p>
      <w:pPr>
        <w:rPr>
          <w:rFonts w:ascii="Times New Roman" w:hAnsi="Times New Roman"/>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D6616"/>
    <w:multiLevelType w:val="multilevel"/>
    <w:tmpl w:val="2CDD661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0NjczszAyMzEytjBU0lEKTi0uzszPAykwrgUAJRwaNCwAAAA="/>
    <w:docVar w:name="commondata" w:val="eyJoZGlkIjoiNDUwMTFkMDI3ZjBmZjczM2Q3M2EwOGI5M2VjYzUzMDkifQ=="/>
  </w:docVars>
  <w:rsids>
    <w:rsidRoot w:val="00A62D0C"/>
    <w:rsid w:val="000041CB"/>
    <w:rsid w:val="00021C59"/>
    <w:rsid w:val="00092EF6"/>
    <w:rsid w:val="000B4C77"/>
    <w:rsid w:val="000B5611"/>
    <w:rsid w:val="000C2C67"/>
    <w:rsid w:val="000D44F2"/>
    <w:rsid w:val="000D7200"/>
    <w:rsid w:val="00101855"/>
    <w:rsid w:val="00121BC1"/>
    <w:rsid w:val="00122726"/>
    <w:rsid w:val="00134100"/>
    <w:rsid w:val="001516C5"/>
    <w:rsid w:val="001629C9"/>
    <w:rsid w:val="001775F4"/>
    <w:rsid w:val="001B4A6E"/>
    <w:rsid w:val="0021021A"/>
    <w:rsid w:val="00221D00"/>
    <w:rsid w:val="00232BD8"/>
    <w:rsid w:val="00233290"/>
    <w:rsid w:val="00237C04"/>
    <w:rsid w:val="00276083"/>
    <w:rsid w:val="002A7B7E"/>
    <w:rsid w:val="002F373C"/>
    <w:rsid w:val="00302505"/>
    <w:rsid w:val="00315C70"/>
    <w:rsid w:val="003177E9"/>
    <w:rsid w:val="00323326"/>
    <w:rsid w:val="0035587B"/>
    <w:rsid w:val="00386157"/>
    <w:rsid w:val="003B764C"/>
    <w:rsid w:val="003B79BE"/>
    <w:rsid w:val="003C4D09"/>
    <w:rsid w:val="003E70E6"/>
    <w:rsid w:val="00452F68"/>
    <w:rsid w:val="00493F94"/>
    <w:rsid w:val="004A3081"/>
    <w:rsid w:val="00510FA4"/>
    <w:rsid w:val="005240E3"/>
    <w:rsid w:val="00527AAB"/>
    <w:rsid w:val="0054382F"/>
    <w:rsid w:val="00584704"/>
    <w:rsid w:val="0059581C"/>
    <w:rsid w:val="00597917"/>
    <w:rsid w:val="005A4AF3"/>
    <w:rsid w:val="005C130E"/>
    <w:rsid w:val="005C5EFB"/>
    <w:rsid w:val="005E00BA"/>
    <w:rsid w:val="0060752D"/>
    <w:rsid w:val="00621F78"/>
    <w:rsid w:val="006336A5"/>
    <w:rsid w:val="00653FAE"/>
    <w:rsid w:val="006660B2"/>
    <w:rsid w:val="00687C86"/>
    <w:rsid w:val="006F425B"/>
    <w:rsid w:val="006F7468"/>
    <w:rsid w:val="00705B79"/>
    <w:rsid w:val="00732596"/>
    <w:rsid w:val="00764F49"/>
    <w:rsid w:val="0077027E"/>
    <w:rsid w:val="007778C4"/>
    <w:rsid w:val="00783241"/>
    <w:rsid w:val="007A3C03"/>
    <w:rsid w:val="007D14C2"/>
    <w:rsid w:val="007E2966"/>
    <w:rsid w:val="007F4A5C"/>
    <w:rsid w:val="0080235B"/>
    <w:rsid w:val="00810C8A"/>
    <w:rsid w:val="00862606"/>
    <w:rsid w:val="00887AB7"/>
    <w:rsid w:val="008A4E54"/>
    <w:rsid w:val="008E4505"/>
    <w:rsid w:val="00943DAC"/>
    <w:rsid w:val="009548B8"/>
    <w:rsid w:val="00975C3C"/>
    <w:rsid w:val="009847D7"/>
    <w:rsid w:val="009B0C07"/>
    <w:rsid w:val="009C4118"/>
    <w:rsid w:val="009C529E"/>
    <w:rsid w:val="009E0B0D"/>
    <w:rsid w:val="009E5E2F"/>
    <w:rsid w:val="009F0B2C"/>
    <w:rsid w:val="00A1093A"/>
    <w:rsid w:val="00A2003B"/>
    <w:rsid w:val="00A200F5"/>
    <w:rsid w:val="00A21EAE"/>
    <w:rsid w:val="00A24CD7"/>
    <w:rsid w:val="00A54511"/>
    <w:rsid w:val="00A578B2"/>
    <w:rsid w:val="00A62D0C"/>
    <w:rsid w:val="00A83A84"/>
    <w:rsid w:val="00A90481"/>
    <w:rsid w:val="00A94755"/>
    <w:rsid w:val="00A94D41"/>
    <w:rsid w:val="00AA2DD0"/>
    <w:rsid w:val="00AB3493"/>
    <w:rsid w:val="00B3559C"/>
    <w:rsid w:val="00B45CBD"/>
    <w:rsid w:val="00B74940"/>
    <w:rsid w:val="00B778B5"/>
    <w:rsid w:val="00BA0703"/>
    <w:rsid w:val="00BB7CA8"/>
    <w:rsid w:val="00BC4212"/>
    <w:rsid w:val="00BD0170"/>
    <w:rsid w:val="00BF011A"/>
    <w:rsid w:val="00C01F91"/>
    <w:rsid w:val="00C0598C"/>
    <w:rsid w:val="00C5321C"/>
    <w:rsid w:val="00C75438"/>
    <w:rsid w:val="00C80439"/>
    <w:rsid w:val="00C91822"/>
    <w:rsid w:val="00CA5729"/>
    <w:rsid w:val="00CA771A"/>
    <w:rsid w:val="00CA7FBD"/>
    <w:rsid w:val="00CB0CAD"/>
    <w:rsid w:val="00CB0DA3"/>
    <w:rsid w:val="00CB22E5"/>
    <w:rsid w:val="00CC3991"/>
    <w:rsid w:val="00CE324D"/>
    <w:rsid w:val="00D00D8F"/>
    <w:rsid w:val="00D05837"/>
    <w:rsid w:val="00D26FE3"/>
    <w:rsid w:val="00D4754D"/>
    <w:rsid w:val="00D80F5E"/>
    <w:rsid w:val="00D90F90"/>
    <w:rsid w:val="00DB2BE6"/>
    <w:rsid w:val="00DB3153"/>
    <w:rsid w:val="00DD1A11"/>
    <w:rsid w:val="00DD2B9D"/>
    <w:rsid w:val="00E05AAC"/>
    <w:rsid w:val="00E31519"/>
    <w:rsid w:val="00E46A24"/>
    <w:rsid w:val="00E53298"/>
    <w:rsid w:val="00E75708"/>
    <w:rsid w:val="00E87B0E"/>
    <w:rsid w:val="00EA3C2B"/>
    <w:rsid w:val="00EA6B66"/>
    <w:rsid w:val="00ED7004"/>
    <w:rsid w:val="00ED743E"/>
    <w:rsid w:val="00EF183E"/>
    <w:rsid w:val="00F124D5"/>
    <w:rsid w:val="00F229E3"/>
    <w:rsid w:val="00F24F4D"/>
    <w:rsid w:val="00F4723F"/>
    <w:rsid w:val="00F71353"/>
    <w:rsid w:val="00F84849"/>
    <w:rsid w:val="00FB208F"/>
    <w:rsid w:val="00FD015A"/>
    <w:rsid w:val="00FD55D8"/>
    <w:rsid w:val="00FF05CE"/>
    <w:rsid w:val="00FF2D9F"/>
    <w:rsid w:val="00FF6570"/>
    <w:rsid w:val="017820D9"/>
    <w:rsid w:val="08585A38"/>
    <w:rsid w:val="0F7A065C"/>
    <w:rsid w:val="12C10F90"/>
    <w:rsid w:val="176078BD"/>
    <w:rsid w:val="19731646"/>
    <w:rsid w:val="1A5F0658"/>
    <w:rsid w:val="208D7776"/>
    <w:rsid w:val="231A1A2B"/>
    <w:rsid w:val="2DD51ADD"/>
    <w:rsid w:val="2FDC78D5"/>
    <w:rsid w:val="2FF8EF18"/>
    <w:rsid w:val="317A1C09"/>
    <w:rsid w:val="32F06A99"/>
    <w:rsid w:val="33C97CD0"/>
    <w:rsid w:val="37DB34CF"/>
    <w:rsid w:val="3BBE49F2"/>
    <w:rsid w:val="3CDECD19"/>
    <w:rsid w:val="3D748D18"/>
    <w:rsid w:val="3F7FA988"/>
    <w:rsid w:val="3FFF8CBA"/>
    <w:rsid w:val="40802AC9"/>
    <w:rsid w:val="40F55BB6"/>
    <w:rsid w:val="433F0D22"/>
    <w:rsid w:val="4ABD6DD5"/>
    <w:rsid w:val="4B392AEB"/>
    <w:rsid w:val="4DC436EA"/>
    <w:rsid w:val="5FABC936"/>
    <w:rsid w:val="67E76E1D"/>
    <w:rsid w:val="69A505A9"/>
    <w:rsid w:val="6A5FABB5"/>
    <w:rsid w:val="6BDC3F6D"/>
    <w:rsid w:val="7356F8F2"/>
    <w:rsid w:val="76FF9492"/>
    <w:rsid w:val="77AD1F26"/>
    <w:rsid w:val="77D3BC16"/>
    <w:rsid w:val="79512DA2"/>
    <w:rsid w:val="7B7723EB"/>
    <w:rsid w:val="7B9F7046"/>
    <w:rsid w:val="7BD86F25"/>
    <w:rsid w:val="7CC318F7"/>
    <w:rsid w:val="7E287F66"/>
    <w:rsid w:val="7E7D72C2"/>
    <w:rsid w:val="7EFF7B27"/>
    <w:rsid w:val="7F75F794"/>
    <w:rsid w:val="7FF56811"/>
    <w:rsid w:val="7FFF8EB9"/>
    <w:rsid w:val="9D7B14C5"/>
    <w:rsid w:val="AB4F0ADA"/>
    <w:rsid w:val="AEBF491F"/>
    <w:rsid w:val="AEFDD694"/>
    <w:rsid w:val="B773C566"/>
    <w:rsid w:val="BF74576C"/>
    <w:rsid w:val="D6DC275B"/>
    <w:rsid w:val="DA8F884A"/>
    <w:rsid w:val="DBFBDD67"/>
    <w:rsid w:val="E6BD7537"/>
    <w:rsid w:val="EFC52D95"/>
    <w:rsid w:val="EFDB9D1F"/>
    <w:rsid w:val="EFEE39FF"/>
    <w:rsid w:val="EFF942C2"/>
    <w:rsid w:val="EFFF7313"/>
    <w:rsid w:val="F7F72D6E"/>
    <w:rsid w:val="FD7FDF4B"/>
    <w:rsid w:val="FEEDFB0A"/>
    <w:rsid w:val="FF5DF323"/>
    <w:rsid w:val="FF745B6F"/>
    <w:rsid w:val="FF7CF6EE"/>
    <w:rsid w:val="FFAF8C94"/>
    <w:rsid w:val="FFBFA25A"/>
    <w:rsid w:val="FFDE6203"/>
    <w:rsid w:val="FFFC9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unhideWhenUsed/>
    <w:qFormat/>
    <w:uiPriority w:val="99"/>
    <w:rPr>
      <w:rFonts w:ascii="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列表段落1"/>
    <w:basedOn w:val="1"/>
    <w:link w:val="11"/>
    <w:qFormat/>
    <w:uiPriority w:val="34"/>
    <w:pPr>
      <w:ind w:firstLine="420" w:firstLineChars="200"/>
    </w:pPr>
    <w:rPr>
      <w:rFonts w:asciiTheme="minorHAnsi" w:hAnsiTheme="minorHAnsi" w:eastAsiaTheme="minorEastAsia" w:cstheme="minorBidi"/>
    </w:rPr>
  </w:style>
  <w:style w:type="character" w:customStyle="1" w:styleId="11">
    <w:name w:val="列表段落 字符"/>
    <w:basedOn w:val="8"/>
    <w:link w:val="10"/>
    <w:qFormat/>
    <w:uiPriority w:val="34"/>
    <w:rPr>
      <w:szCs w:val="22"/>
    </w:rPr>
  </w:style>
  <w:style w:type="character" w:customStyle="1" w:styleId="12">
    <w:name w:val="批注框文本 字符"/>
    <w:basedOn w:val="8"/>
    <w:link w:val="3"/>
    <w:semiHidden/>
    <w:qFormat/>
    <w:uiPriority w:val="99"/>
    <w:rPr>
      <w:rFonts w:ascii="宋体" w:hAnsi="Calibri" w:eastAsia="宋体" w:cs="Times New Roman"/>
      <w:sz w:val="18"/>
      <w:szCs w:val="18"/>
    </w:rPr>
  </w:style>
  <w:style w:type="character" w:customStyle="1" w:styleId="13">
    <w:name w:val="批注文字 字符"/>
    <w:basedOn w:val="8"/>
    <w:link w:val="2"/>
    <w:semiHidden/>
    <w:qFormat/>
    <w:uiPriority w:val="99"/>
    <w:rPr>
      <w:rFonts w:ascii="Calibri" w:hAnsi="Calibri" w:eastAsia="宋体" w:cs="Times New Roman"/>
      <w:szCs w:val="22"/>
    </w:rPr>
  </w:style>
  <w:style w:type="character" w:customStyle="1" w:styleId="14">
    <w:name w:val="批注主题 字符"/>
    <w:basedOn w:val="13"/>
    <w:link w:val="6"/>
    <w:semiHidden/>
    <w:qFormat/>
    <w:uiPriority w:val="99"/>
    <w:rPr>
      <w:rFonts w:ascii="Calibri" w:hAnsi="Calibri" w:eastAsia="宋体" w:cs="Times New Roman"/>
      <w:b/>
      <w:bCs/>
      <w:szCs w:val="22"/>
    </w:rPr>
  </w:style>
  <w:style w:type="character" w:customStyle="1" w:styleId="15">
    <w:name w:val="页眉 字符"/>
    <w:basedOn w:val="8"/>
    <w:link w:val="5"/>
    <w:qFormat/>
    <w:uiPriority w:val="99"/>
    <w:rPr>
      <w:rFonts w:ascii="Calibri" w:hAnsi="Calibri" w:eastAsia="宋体" w:cs="Times New Roman"/>
      <w:sz w:val="18"/>
      <w:szCs w:val="18"/>
    </w:rPr>
  </w:style>
  <w:style w:type="character" w:customStyle="1" w:styleId="16">
    <w:name w:val="页脚 字符"/>
    <w:basedOn w:val="8"/>
    <w:link w:val="4"/>
    <w:qFormat/>
    <w:uiPriority w:val="99"/>
    <w:rPr>
      <w:rFonts w:ascii="Calibri" w:hAnsi="Calibri" w:eastAsia="宋体"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2063</Characters>
  <Lines>17</Lines>
  <Paragraphs>4</Paragraphs>
  <TotalTime>20</TotalTime>
  <ScaleCrop>false</ScaleCrop>
  <LinksUpToDate>false</LinksUpToDate>
  <CharactersWithSpaces>2106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2021-04-30T15:23:00Z</dcterms:created>
  <dc:creator>雪梨</dc:creator>
  <cp:lastModifiedBy>Administrator</cp:lastModifiedBy>
  <cp:lastPrinted>2021-02-22T16:36:00Z</cp:lastPrinted>
  <dcterms:modified xsi:type="dcterms:W3CDTF">2025-02-17T00:36:24Z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560BA56778585A3448CAF36681B43298_43</vt:lpwstr>
  </property>
  <property fmtid="{D5CDD505-2E9C-101B-9397-08002B2CF9AE}" pid="4" name="KSOTemplateDocerSaveRecord">
    <vt:lpwstr>eyJoZGlkIjoiNDUwMTFkMDI3ZjBmZjczM2Q3M2EwOGI5M2VjYzUzMDkiLCJ1c2VySWQiOiI2MjAwOTk2NzEifQ==</vt:lpwstr>
  </property>
</Properties>
</file>