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3960E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关于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个人信息处理相关事宜的公告</w:t>
      </w:r>
    </w:p>
    <w:p w14:paraId="01D04C5D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尊敬的各位客户：</w:t>
      </w:r>
    </w:p>
    <w:p w14:paraId="2F0E44E2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根据</w:t>
      </w:r>
      <w:r>
        <w:rPr>
          <w:rFonts w:ascii="Times New Roman" w:hAnsi="Times New Roman" w:eastAsia="仿宋_GB2312" w:cs="Times New Roman"/>
          <w:sz w:val="28"/>
          <w:szCs w:val="28"/>
        </w:rPr>
        <w:t>中国证券监督管理委员会关于同意国泰君安证券股份有限公司（以下简称“国泰君安”）吸收合并海通证券股份有限公司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批复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证监许可〔2025〕96号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，海通证券股份有限公司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拟将境内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证券</w:t>
      </w:r>
      <w:r>
        <w:rPr>
          <w:rFonts w:ascii="Times New Roman" w:hAnsi="Times New Roman" w:eastAsia="仿宋_GB2312" w:cs="Times New Roman"/>
          <w:sz w:val="28"/>
          <w:szCs w:val="28"/>
        </w:rPr>
        <w:t>业务及客户迁移至国泰君安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，相关客户个人信息亦将自然转移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国泰君安。</w:t>
      </w:r>
    </w:p>
    <w:p w14:paraId="51755550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国泰君安不会变更客户个人信息原有处理目的、处理方式，将根据《中华人民共和国个人信息保护法》要求，遵循合法、正当、必要和诚信原则，继续履行个人信息处理者的义务。国泰君安将勤勉谨慎，高度重视客户个人信息，保护个人信息主体权益，保障个人信息安全。对于个人信息处理有疑问或建议的，客户可通过国泰君安个人信息保护邮箱进行咨询（</w:t>
      </w:r>
      <w:r>
        <w:fldChar w:fldCharType="begin"/>
      </w:r>
      <w:r>
        <w:instrText xml:space="preserve"> HYPERLINK "mailto:grxxbh@gtjas.com"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sz w:val="28"/>
          <w:szCs w:val="28"/>
        </w:rPr>
        <w:t>grxxbh@gtjas.com</w:t>
      </w:r>
      <w:r>
        <w:rPr>
          <w:rStyle w:val="6"/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）。</w:t>
      </w:r>
    </w:p>
    <w:p w14:paraId="1D56CC49">
      <w:pPr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海通证券股份有限公司</w:t>
      </w:r>
    </w:p>
    <w:p w14:paraId="25E7C76A">
      <w:pPr>
        <w:ind w:firstLine="560" w:firstLineChars="2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025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年2月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p w14:paraId="47D9FE81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6C4444"/>
    <w:rsid w:val="279B2689"/>
    <w:rsid w:val="3E5D2F71"/>
    <w:rsid w:val="592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uiPriority w:val="99"/>
    <w:pPr>
      <w:jc w:val="left"/>
    </w:pPr>
  </w:style>
  <w:style w:type="paragraph" w:styleId="3">
    <w:name w:val="annotation subject"/>
    <w:basedOn w:val="2"/>
    <w:next w:val="2"/>
    <w:link w:val="10"/>
    <w:unhideWhenUsed/>
    <w:qFormat/>
    <w:uiPriority w:val="99"/>
    <w:rPr>
      <w:b/>
      <w:bCs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annotation reference"/>
    <w:basedOn w:val="5"/>
    <w:unhideWhenUsed/>
    <w:qFormat/>
    <w:uiPriority w:val="99"/>
    <w:rPr>
      <w:sz w:val="21"/>
      <w:szCs w:val="21"/>
    </w:rPr>
  </w:style>
  <w:style w:type="character" w:styleId="8">
    <w:name w:val="footnote reference"/>
    <w:basedOn w:val="7"/>
    <w:unhideWhenUsed/>
    <w:qFormat/>
    <w:uiPriority w:val="0"/>
    <w:rPr>
      <w:sz w:val="21"/>
      <w:szCs w:val="21"/>
      <w:vertAlign w:val="superscript"/>
    </w:rPr>
  </w:style>
  <w:style w:type="character" w:customStyle="1" w:styleId="9">
    <w:name w:val="批注文字 字符"/>
    <w:basedOn w:val="5"/>
    <w:link w:val="2"/>
    <w:semiHidden/>
    <w:qFormat/>
    <w:uiPriority w:val="99"/>
  </w:style>
  <w:style w:type="character" w:customStyle="1" w:styleId="10">
    <w:name w:val="批注主题 字符"/>
    <w:basedOn w:val="9"/>
    <w:link w:val="3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2025-02-20T15:39:00Z</dcterms:created>
  <dc:creator>HC/法律合规部/GTJA</dc:creator>
  <cp:lastModifiedBy>乐剑平</cp:lastModifiedBy>
  <dcterms:modified xsi:type="dcterms:W3CDTF">2025-02-21T09:50:29Z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814D90C8092C47BDBD3364E2D3DF3005_13</vt:lpwstr>
  </property>
  <property fmtid="{D5CDD505-2E9C-101B-9397-08002B2CF9AE}" pid="3" name="KSOProductBuildVer">
    <vt:lpwstr>2052-12.8.2.17148</vt:lpwstr>
  </property>
</Properties>
</file>